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AF43" w14:textId="360A4FF3" w:rsidR="00B93182" w:rsidRPr="00B16EE7" w:rsidRDefault="00B93182" w:rsidP="00B93182">
      <w:pPr>
        <w:shd w:val="clear" w:color="auto" w:fill="FFFFFF"/>
        <w:rPr>
          <w:rFonts w:eastAsia="Times New Roman"/>
          <w:b/>
          <w:bCs/>
          <w:color w:val="333333"/>
          <w:sz w:val="29"/>
          <w:szCs w:val="29"/>
        </w:rPr>
      </w:pPr>
      <w:bookmarkStart w:id="0" w:name="_GoBack"/>
      <w:bookmarkEnd w:id="0"/>
      <w:r w:rsidRPr="00B16EE7">
        <w:rPr>
          <w:rFonts w:eastAsia="Times New Roman"/>
          <w:b/>
          <w:bCs/>
          <w:color w:val="333333"/>
          <w:sz w:val="29"/>
          <w:szCs w:val="29"/>
        </w:rPr>
        <w:t xml:space="preserve">Continuum of Care Recordkeeping Standard Operating Procedures – </w:t>
      </w:r>
      <w:r w:rsidR="005668A2">
        <w:rPr>
          <w:rFonts w:eastAsia="Times New Roman"/>
          <w:b/>
          <w:bCs/>
          <w:color w:val="333333"/>
          <w:sz w:val="29"/>
          <w:szCs w:val="29"/>
        </w:rPr>
        <w:t xml:space="preserve">COVID-19 </w:t>
      </w:r>
      <w:r w:rsidRPr="00B16EE7">
        <w:rPr>
          <w:rFonts w:eastAsia="Times New Roman"/>
          <w:b/>
          <w:bCs/>
          <w:color w:val="333333"/>
          <w:sz w:val="29"/>
          <w:szCs w:val="29"/>
        </w:rPr>
        <w:t xml:space="preserve">Emergency </w:t>
      </w:r>
      <w:r w:rsidR="007B638E" w:rsidRPr="00B16EE7">
        <w:rPr>
          <w:rFonts w:eastAsia="Times New Roman"/>
          <w:b/>
          <w:bCs/>
          <w:color w:val="333333"/>
          <w:sz w:val="29"/>
          <w:szCs w:val="29"/>
        </w:rPr>
        <w:t xml:space="preserve">Recordkeeping </w:t>
      </w:r>
      <w:r w:rsidRPr="00B16EE7">
        <w:rPr>
          <w:rFonts w:eastAsia="Times New Roman"/>
          <w:b/>
          <w:bCs/>
          <w:color w:val="333333"/>
          <w:sz w:val="29"/>
          <w:szCs w:val="29"/>
        </w:rPr>
        <w:t>Protocol</w:t>
      </w:r>
      <w:r w:rsidR="00BE1D10" w:rsidRPr="00B16EE7">
        <w:rPr>
          <w:rFonts w:eastAsia="Times New Roman"/>
          <w:b/>
          <w:bCs/>
          <w:color w:val="333333"/>
          <w:sz w:val="29"/>
          <w:szCs w:val="29"/>
        </w:rPr>
        <w:t xml:space="preserve"> </w:t>
      </w:r>
    </w:p>
    <w:p w14:paraId="09C88844" w14:textId="77777777" w:rsidR="00B93182" w:rsidRPr="00B16EE7" w:rsidRDefault="00B93182" w:rsidP="00B93182">
      <w:pPr>
        <w:shd w:val="clear" w:color="auto" w:fill="FFFFFF"/>
        <w:rPr>
          <w:rFonts w:eastAsia="Times New Roman"/>
          <w:b/>
          <w:bCs/>
          <w:color w:val="333333"/>
          <w:sz w:val="29"/>
          <w:szCs w:val="29"/>
        </w:rPr>
      </w:pPr>
    </w:p>
    <w:p w14:paraId="6D2053F8" w14:textId="77777777" w:rsidR="00B93182" w:rsidRPr="00B16EE7" w:rsidRDefault="00B93182" w:rsidP="00B93182">
      <w:pPr>
        <w:shd w:val="clear" w:color="auto" w:fill="FFFFFF"/>
        <w:rPr>
          <w:color w:val="333333"/>
        </w:rPr>
      </w:pPr>
      <w:r w:rsidRPr="00B16EE7">
        <w:rPr>
          <w:rFonts w:eastAsia="Times New Roman"/>
          <w:bCs/>
          <w:color w:val="333333"/>
        </w:rPr>
        <w:t xml:space="preserve">In accordance with 24 CFR 578.103(a), we have established standard operating procedures that ensure that </w:t>
      </w:r>
      <w:r w:rsidRPr="00B93182">
        <w:rPr>
          <w:color w:val="333333"/>
        </w:rPr>
        <w:t xml:space="preserve">Continuum of Care program funds are used in accordance with the requirements of </w:t>
      </w:r>
      <w:r w:rsidRPr="00B16EE7">
        <w:rPr>
          <w:color w:val="333333"/>
        </w:rPr>
        <w:t xml:space="preserve">24 CFR 578 </w:t>
      </w:r>
      <w:r w:rsidRPr="00B93182">
        <w:rPr>
          <w:color w:val="333333"/>
        </w:rPr>
        <w:t xml:space="preserve">and </w:t>
      </w:r>
      <w:r w:rsidRPr="00B16EE7">
        <w:rPr>
          <w:color w:val="333333"/>
        </w:rPr>
        <w:t>that</w:t>
      </w:r>
      <w:r w:rsidRPr="00B93182">
        <w:rPr>
          <w:color w:val="333333"/>
        </w:rPr>
        <w:t xml:space="preserve"> sufficient records </w:t>
      </w:r>
      <w:r w:rsidRPr="00B16EE7">
        <w:rPr>
          <w:color w:val="333333"/>
        </w:rPr>
        <w:t>will be maintained to</w:t>
      </w:r>
      <w:r w:rsidRPr="00B93182">
        <w:rPr>
          <w:color w:val="333333"/>
        </w:rPr>
        <w:t xml:space="preserve"> enable HUD to determine whether </w:t>
      </w:r>
      <w:r w:rsidRPr="00B16EE7">
        <w:rPr>
          <w:color w:val="333333"/>
        </w:rPr>
        <w:t>we, as a Recipient or Subrecipient, are</w:t>
      </w:r>
      <w:r w:rsidRPr="00B93182">
        <w:rPr>
          <w:color w:val="333333"/>
        </w:rPr>
        <w:t xml:space="preserve"> meeting the requirements of this part</w:t>
      </w:r>
      <w:r w:rsidRPr="00B16EE7">
        <w:rPr>
          <w:color w:val="333333"/>
        </w:rPr>
        <w:t xml:space="preserve">. </w:t>
      </w:r>
    </w:p>
    <w:p w14:paraId="0C4244F0" w14:textId="77777777" w:rsidR="00B93182" w:rsidRPr="00B16EE7" w:rsidRDefault="00B93182" w:rsidP="00B93182">
      <w:pPr>
        <w:shd w:val="clear" w:color="auto" w:fill="FFFFFF"/>
        <w:rPr>
          <w:color w:val="333333"/>
        </w:rPr>
      </w:pPr>
    </w:p>
    <w:p w14:paraId="17FF7C33" w14:textId="0FE10624" w:rsidR="00B16EE7" w:rsidRPr="00105DC7" w:rsidRDefault="00B93182" w:rsidP="00B16EE7">
      <w:pPr>
        <w:shd w:val="clear" w:color="auto" w:fill="FFFFFF"/>
        <w:rPr>
          <w:color w:val="333333"/>
        </w:rPr>
      </w:pPr>
      <w:r w:rsidRPr="00B16EE7">
        <w:rPr>
          <w:color w:val="333333"/>
        </w:rPr>
        <w:t>As part of t</w:t>
      </w:r>
      <w:r w:rsidR="007B638E" w:rsidRPr="00B16EE7">
        <w:rPr>
          <w:color w:val="333333"/>
        </w:rPr>
        <w:t xml:space="preserve">hose policies and procedures, this Emergency Protocol outlines the </w:t>
      </w:r>
      <w:r w:rsidR="001F4185">
        <w:rPr>
          <w:color w:val="333333"/>
        </w:rPr>
        <w:t>waivers we have applied for related to the COVID-19 Health Emergency. It also describes the recordkeeping process we will use associ</w:t>
      </w:r>
      <w:r w:rsidR="00105DC7">
        <w:rPr>
          <w:color w:val="333333"/>
        </w:rPr>
        <w:t>ated with each waiver requested</w:t>
      </w:r>
      <w:r w:rsidR="00B16EE7" w:rsidRPr="00B16EE7">
        <w:rPr>
          <w:rFonts w:eastAsia="Times New Roman"/>
          <w:bCs/>
          <w:color w:val="333333"/>
          <w:sz w:val="29"/>
          <w:szCs w:val="29"/>
        </w:rPr>
        <w:t>.</w:t>
      </w:r>
    </w:p>
    <w:p w14:paraId="3F4C655A" w14:textId="77777777" w:rsidR="00B16EE7" w:rsidRPr="00B16EE7" w:rsidRDefault="00B16EE7" w:rsidP="00B16EE7">
      <w:pPr>
        <w:shd w:val="clear" w:color="auto" w:fill="FFFFFF"/>
        <w:rPr>
          <w:rFonts w:eastAsia="Times New Roman"/>
          <w:b/>
          <w:bCs/>
          <w:color w:val="333333"/>
        </w:rPr>
      </w:pPr>
    </w:p>
    <w:p w14:paraId="0A93E31A" w14:textId="71484E93" w:rsidR="00953093" w:rsidRDefault="005B750C" w:rsidP="00B16EE7">
      <w:pPr>
        <w:shd w:val="clear" w:color="auto" w:fill="FFFFFF"/>
        <w:rPr>
          <w:rFonts w:eastAsia="Times New Roman"/>
          <w:b/>
          <w:bCs/>
          <w:color w:val="333333"/>
        </w:rPr>
      </w:pPr>
      <w:r>
        <w:rPr>
          <w:rFonts w:eastAsia="Times New Roman"/>
          <w:b/>
          <w:bCs/>
          <w:color w:val="333333"/>
        </w:rPr>
        <w:t xml:space="preserve">On (insert date), we informed the HUD CPD Director of our intent to implement the </w:t>
      </w:r>
      <w:r w:rsidR="00953093">
        <w:rPr>
          <w:rFonts w:eastAsia="Times New Roman"/>
          <w:b/>
          <w:bCs/>
          <w:color w:val="333333"/>
        </w:rPr>
        <w:t>waivers described below for the following CoC Projects (list applicable project names</w:t>
      </w:r>
      <w:r w:rsidR="00B96A18">
        <w:rPr>
          <w:rFonts w:eastAsia="Times New Roman"/>
          <w:b/>
          <w:bCs/>
          <w:color w:val="333333"/>
        </w:rPr>
        <w:t xml:space="preserve"> and Grant</w:t>
      </w:r>
      <w:r w:rsidR="00105DC7">
        <w:rPr>
          <w:rFonts w:eastAsia="Times New Roman"/>
          <w:b/>
          <w:bCs/>
          <w:color w:val="333333"/>
        </w:rPr>
        <w:t xml:space="preserve"> Numbers)</w:t>
      </w:r>
      <w:r>
        <w:rPr>
          <w:rFonts w:eastAsia="Times New Roman"/>
          <w:b/>
          <w:bCs/>
          <w:color w:val="333333"/>
        </w:rPr>
        <w:t>. A copy of</w:t>
      </w:r>
      <w:r w:rsidR="00953093">
        <w:rPr>
          <w:rFonts w:eastAsia="Times New Roman"/>
          <w:b/>
          <w:bCs/>
          <w:color w:val="333333"/>
        </w:rPr>
        <w:t xml:space="preserve"> that email request is attached. </w:t>
      </w:r>
    </w:p>
    <w:p w14:paraId="3FDD8985" w14:textId="77777777" w:rsidR="00953093" w:rsidRDefault="00953093" w:rsidP="00B16EE7">
      <w:pPr>
        <w:shd w:val="clear" w:color="auto" w:fill="FFFFFF"/>
        <w:rPr>
          <w:rFonts w:eastAsia="Times New Roman"/>
          <w:b/>
          <w:bCs/>
          <w:color w:val="333333"/>
        </w:rPr>
      </w:pPr>
    </w:p>
    <w:p w14:paraId="04B526F7" w14:textId="3D28B00F" w:rsidR="001F4185" w:rsidRDefault="001F4185" w:rsidP="00B16EE7">
      <w:pPr>
        <w:shd w:val="clear" w:color="auto" w:fill="FFFFFF"/>
        <w:rPr>
          <w:rFonts w:eastAsia="Times New Roman"/>
          <w:b/>
          <w:bCs/>
          <w:color w:val="333333"/>
        </w:rPr>
      </w:pPr>
      <w:r>
        <w:rPr>
          <w:rFonts w:eastAsia="Times New Roman"/>
          <w:b/>
          <w:bCs/>
          <w:color w:val="333333"/>
        </w:rPr>
        <w:t>Waivers Requested</w:t>
      </w:r>
      <w:r w:rsidR="00B16EE7" w:rsidRPr="00B16EE7">
        <w:rPr>
          <w:rFonts w:eastAsia="Times New Roman"/>
          <w:b/>
          <w:bCs/>
          <w:color w:val="333333"/>
        </w:rPr>
        <w:t>:</w:t>
      </w:r>
      <w:r w:rsidR="009A35D1">
        <w:rPr>
          <w:rFonts w:eastAsia="Times New Roman"/>
          <w:b/>
          <w:bCs/>
          <w:color w:val="333333"/>
        </w:rPr>
        <w:t xml:space="preserve"> (select those that apply)</w:t>
      </w:r>
      <w:r w:rsidR="00953093">
        <w:rPr>
          <w:rFonts w:eastAsia="Times New Roman"/>
          <w:b/>
          <w:bCs/>
          <w:color w:val="333333"/>
        </w:rPr>
        <w:t>:</w:t>
      </w:r>
    </w:p>
    <w:p w14:paraId="34A4959E" w14:textId="77777777" w:rsidR="001F4185" w:rsidRDefault="001F4185" w:rsidP="00B16EE7">
      <w:pPr>
        <w:shd w:val="clear" w:color="auto" w:fill="FFFFFF"/>
        <w:rPr>
          <w:rFonts w:eastAsia="Times New Roman"/>
          <w:b/>
          <w:bCs/>
          <w:color w:val="333333"/>
        </w:rPr>
      </w:pPr>
    </w:p>
    <w:tbl>
      <w:tblPr>
        <w:tblStyle w:val="TableGrid"/>
        <w:tblW w:w="5000" w:type="pct"/>
        <w:shd w:val="clear" w:color="auto" w:fill="FFF2CC" w:themeFill="accent4" w:themeFillTint="33"/>
        <w:tblLook w:val="04A0" w:firstRow="1" w:lastRow="0" w:firstColumn="1" w:lastColumn="0" w:noHBand="0" w:noVBand="1"/>
      </w:tblPr>
      <w:tblGrid>
        <w:gridCol w:w="374"/>
        <w:gridCol w:w="2321"/>
        <w:gridCol w:w="3330"/>
        <w:gridCol w:w="3325"/>
      </w:tblGrid>
      <w:tr w:rsidR="00694A3C" w:rsidRPr="00694A3C" w14:paraId="7AD588D0" w14:textId="77777777" w:rsidTr="00694A3C">
        <w:tc>
          <w:tcPr>
            <w:tcW w:w="200" w:type="pct"/>
            <w:shd w:val="clear" w:color="auto" w:fill="FFD966" w:themeFill="accent4" w:themeFillTint="99"/>
          </w:tcPr>
          <w:p w14:paraId="66A8566A" w14:textId="3780FDF1" w:rsidR="00694A3C" w:rsidRPr="00694A3C" w:rsidRDefault="00694A3C" w:rsidP="00500AE5">
            <w:pPr>
              <w:jc w:val="center"/>
              <w:rPr>
                <w:b/>
                <w:bCs/>
                <w:sz w:val="20"/>
                <w:szCs w:val="20"/>
              </w:rPr>
            </w:pPr>
            <w:r>
              <w:rPr>
                <w:b/>
                <w:bCs/>
                <w:sz w:val="20"/>
                <w:szCs w:val="20"/>
              </w:rPr>
              <w:sym w:font="Wingdings" w:char="F0FC"/>
            </w:r>
          </w:p>
        </w:tc>
        <w:tc>
          <w:tcPr>
            <w:tcW w:w="1241" w:type="pct"/>
            <w:shd w:val="clear" w:color="auto" w:fill="FFD966" w:themeFill="accent4" w:themeFillTint="99"/>
          </w:tcPr>
          <w:p w14:paraId="0609CE11" w14:textId="7D1696E9" w:rsidR="00694A3C" w:rsidRPr="00694A3C" w:rsidRDefault="00694A3C" w:rsidP="00500AE5">
            <w:pPr>
              <w:jc w:val="center"/>
              <w:rPr>
                <w:b/>
                <w:bCs/>
                <w:sz w:val="20"/>
                <w:szCs w:val="20"/>
              </w:rPr>
            </w:pPr>
            <w:r w:rsidRPr="00694A3C">
              <w:rPr>
                <w:b/>
                <w:bCs/>
                <w:sz w:val="20"/>
                <w:szCs w:val="20"/>
              </w:rPr>
              <w:t>Requirement</w:t>
            </w:r>
          </w:p>
        </w:tc>
        <w:tc>
          <w:tcPr>
            <w:tcW w:w="1781" w:type="pct"/>
            <w:shd w:val="clear" w:color="auto" w:fill="FFD966" w:themeFill="accent4" w:themeFillTint="99"/>
          </w:tcPr>
          <w:p w14:paraId="41332589" w14:textId="77777777" w:rsidR="00694A3C" w:rsidRPr="00694A3C" w:rsidRDefault="00694A3C" w:rsidP="00500AE5">
            <w:pPr>
              <w:jc w:val="center"/>
              <w:rPr>
                <w:b/>
                <w:bCs/>
                <w:sz w:val="20"/>
                <w:szCs w:val="20"/>
              </w:rPr>
            </w:pPr>
            <w:r w:rsidRPr="00694A3C">
              <w:rPr>
                <w:b/>
                <w:bCs/>
                <w:sz w:val="20"/>
                <w:szCs w:val="20"/>
              </w:rPr>
              <w:t>Applicability</w:t>
            </w:r>
          </w:p>
        </w:tc>
        <w:tc>
          <w:tcPr>
            <w:tcW w:w="1778" w:type="pct"/>
            <w:shd w:val="clear" w:color="auto" w:fill="FFD966" w:themeFill="accent4" w:themeFillTint="99"/>
          </w:tcPr>
          <w:p w14:paraId="6233DDEC" w14:textId="77777777" w:rsidR="00694A3C" w:rsidRPr="00694A3C" w:rsidRDefault="00694A3C" w:rsidP="00500AE5">
            <w:pPr>
              <w:jc w:val="center"/>
              <w:rPr>
                <w:b/>
                <w:bCs/>
                <w:sz w:val="20"/>
                <w:szCs w:val="20"/>
              </w:rPr>
            </w:pPr>
            <w:r w:rsidRPr="00694A3C">
              <w:rPr>
                <w:b/>
                <w:bCs/>
                <w:sz w:val="20"/>
                <w:szCs w:val="20"/>
              </w:rPr>
              <w:t>Other Provisions</w:t>
            </w:r>
          </w:p>
        </w:tc>
      </w:tr>
      <w:tr w:rsidR="00694A3C" w:rsidRPr="00694A3C" w14:paraId="4C5CD62B" w14:textId="77777777" w:rsidTr="00694A3C">
        <w:tc>
          <w:tcPr>
            <w:tcW w:w="200" w:type="pct"/>
            <w:shd w:val="clear" w:color="auto" w:fill="FFF2CC" w:themeFill="accent4" w:themeFillTint="33"/>
          </w:tcPr>
          <w:p w14:paraId="44B73305"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6CEE8AD9" w14:textId="6307FE64" w:rsidR="00694A3C" w:rsidRPr="00694A3C" w:rsidRDefault="00694A3C" w:rsidP="00500AE5">
            <w:pPr>
              <w:rPr>
                <w:sz w:val="20"/>
                <w:szCs w:val="20"/>
              </w:rPr>
            </w:pPr>
            <w:bookmarkStart w:id="1" w:name="_Hlk36584437"/>
            <w:r w:rsidRPr="00694A3C">
              <w:rPr>
                <w:b/>
                <w:bCs/>
                <w:sz w:val="20"/>
                <w:szCs w:val="20"/>
              </w:rPr>
              <w:t>Fair Market Rent for Individual Units and Leasing Costs</w:t>
            </w:r>
            <w:bookmarkEnd w:id="1"/>
            <w:r w:rsidRPr="00694A3C">
              <w:rPr>
                <w:b/>
                <w:bCs/>
                <w:sz w:val="20"/>
                <w:szCs w:val="20"/>
              </w:rPr>
              <w:t xml:space="preserve"> </w:t>
            </w:r>
            <w:r w:rsidRPr="00694A3C">
              <w:rPr>
                <w:sz w:val="20"/>
                <w:szCs w:val="20"/>
              </w:rPr>
              <w:t>24 CFR 578.49(b)(2)</w:t>
            </w:r>
          </w:p>
        </w:tc>
        <w:tc>
          <w:tcPr>
            <w:tcW w:w="1781" w:type="pct"/>
            <w:shd w:val="clear" w:color="auto" w:fill="FFF2CC" w:themeFill="accent4" w:themeFillTint="33"/>
          </w:tcPr>
          <w:p w14:paraId="16518745" w14:textId="77777777" w:rsidR="00694A3C" w:rsidRPr="00694A3C" w:rsidRDefault="00694A3C" w:rsidP="00500AE5">
            <w:pPr>
              <w:rPr>
                <w:sz w:val="20"/>
                <w:szCs w:val="20"/>
              </w:rPr>
            </w:pPr>
            <w:r w:rsidRPr="00694A3C">
              <w:rPr>
                <w:sz w:val="20"/>
                <w:szCs w:val="20"/>
              </w:rPr>
              <w:t xml:space="preserve">The FMR restriction is waived for any lease executed by a recipient or subrecipient to provide transitional or permanent supportive housing during the </w:t>
            </w:r>
            <w:r w:rsidRPr="00694A3C">
              <w:rPr>
                <w:b/>
                <w:bCs/>
                <w:sz w:val="20"/>
                <w:szCs w:val="20"/>
              </w:rPr>
              <w:t>6-month period beginning on the date of this memorandum</w:t>
            </w:r>
            <w:r w:rsidRPr="00694A3C">
              <w:rPr>
                <w:sz w:val="20"/>
                <w:szCs w:val="20"/>
              </w:rPr>
              <w:t xml:space="preserve">. </w:t>
            </w:r>
          </w:p>
        </w:tc>
        <w:tc>
          <w:tcPr>
            <w:tcW w:w="1778" w:type="pct"/>
            <w:shd w:val="clear" w:color="auto" w:fill="FFF2CC" w:themeFill="accent4" w:themeFillTint="33"/>
          </w:tcPr>
          <w:p w14:paraId="50BF0CDA" w14:textId="77777777" w:rsidR="00694A3C" w:rsidRPr="00694A3C" w:rsidRDefault="00694A3C" w:rsidP="00500AE5">
            <w:pPr>
              <w:rPr>
                <w:sz w:val="20"/>
                <w:szCs w:val="20"/>
              </w:rPr>
            </w:pPr>
            <w:r w:rsidRPr="00694A3C">
              <w:rPr>
                <w:sz w:val="20"/>
                <w:szCs w:val="20"/>
              </w:rPr>
              <w:t xml:space="preserve">The affected recipient or subrecipient </w:t>
            </w:r>
            <w:r w:rsidRPr="00694A3C">
              <w:rPr>
                <w:b/>
                <w:bCs/>
                <w:sz w:val="20"/>
                <w:szCs w:val="20"/>
              </w:rPr>
              <w:t>must still ensure</w:t>
            </w:r>
            <w:r w:rsidRPr="00694A3C">
              <w:rPr>
                <w:sz w:val="20"/>
                <w:szCs w:val="20"/>
              </w:rPr>
              <w:t xml:space="preserve"> that rent paid for individual units that are leased with CoC Program leasing dollars meet the rent reasonableness standard in 24 CFR 578.49(b)(2).</w:t>
            </w:r>
          </w:p>
        </w:tc>
      </w:tr>
      <w:tr w:rsidR="00694A3C" w:rsidRPr="00694A3C" w14:paraId="7FCFE0D8" w14:textId="77777777" w:rsidTr="00694A3C">
        <w:tc>
          <w:tcPr>
            <w:tcW w:w="200" w:type="pct"/>
            <w:shd w:val="clear" w:color="auto" w:fill="FFF2CC" w:themeFill="accent4" w:themeFillTint="33"/>
          </w:tcPr>
          <w:p w14:paraId="365E924A"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20911AB2" w14:textId="432D27D9" w:rsidR="00694A3C" w:rsidRPr="00694A3C" w:rsidRDefault="00694A3C" w:rsidP="00500AE5">
            <w:pPr>
              <w:rPr>
                <w:b/>
                <w:bCs/>
                <w:sz w:val="20"/>
                <w:szCs w:val="20"/>
              </w:rPr>
            </w:pPr>
            <w:bookmarkStart w:id="2" w:name="_Hlk36584455"/>
            <w:r w:rsidRPr="00694A3C">
              <w:rPr>
                <w:b/>
                <w:bCs/>
                <w:sz w:val="20"/>
                <w:szCs w:val="20"/>
              </w:rPr>
              <w:t>Disability Documentation for Permanent Supportive Housing (PSH)</w:t>
            </w:r>
          </w:p>
          <w:bookmarkEnd w:id="2"/>
          <w:p w14:paraId="79B9E7CA" w14:textId="77777777" w:rsidR="00694A3C" w:rsidRPr="00694A3C" w:rsidRDefault="00694A3C" w:rsidP="00500AE5">
            <w:pPr>
              <w:rPr>
                <w:sz w:val="20"/>
                <w:szCs w:val="20"/>
              </w:rPr>
            </w:pPr>
            <w:r w:rsidRPr="00694A3C">
              <w:rPr>
                <w:sz w:val="20"/>
                <w:szCs w:val="20"/>
              </w:rPr>
              <w:t>24 CFR 578.103(a) and 24 CFR 578.103(a)(4)(i)(B)</w:t>
            </w:r>
          </w:p>
        </w:tc>
        <w:tc>
          <w:tcPr>
            <w:tcW w:w="1781" w:type="pct"/>
            <w:shd w:val="clear" w:color="auto" w:fill="FFF2CC" w:themeFill="accent4" w:themeFillTint="33"/>
          </w:tcPr>
          <w:p w14:paraId="6BFE3B5F" w14:textId="77777777" w:rsidR="00694A3C" w:rsidRPr="00694A3C" w:rsidRDefault="00694A3C" w:rsidP="00500AE5">
            <w:pPr>
              <w:rPr>
                <w:sz w:val="20"/>
                <w:szCs w:val="20"/>
              </w:rPr>
            </w:pPr>
            <w:r w:rsidRPr="00694A3C">
              <w:rPr>
                <w:sz w:val="20"/>
                <w:szCs w:val="20"/>
              </w:rPr>
              <w:t xml:space="preserve">The requirement that intake staff-recorded observation of disability be confirmed and accompanied by other evidence no later than 45 days from the application for assistance documentation requirement is waived for any program participants admitted into PSH funded by the CoC Program for the </w:t>
            </w:r>
            <w:r w:rsidRPr="00694A3C">
              <w:rPr>
                <w:b/>
                <w:bCs/>
                <w:sz w:val="20"/>
                <w:szCs w:val="20"/>
              </w:rPr>
              <w:t>6-month period beginning on the date of this memorandum.</w:t>
            </w:r>
          </w:p>
        </w:tc>
        <w:tc>
          <w:tcPr>
            <w:tcW w:w="1778" w:type="pct"/>
            <w:shd w:val="clear" w:color="auto" w:fill="FFF2CC" w:themeFill="accent4" w:themeFillTint="33"/>
          </w:tcPr>
          <w:p w14:paraId="1338A99E" w14:textId="77777777" w:rsidR="00694A3C" w:rsidRPr="00694A3C" w:rsidRDefault="00694A3C" w:rsidP="00500AE5">
            <w:pPr>
              <w:rPr>
                <w:b/>
                <w:sz w:val="20"/>
                <w:szCs w:val="20"/>
              </w:rPr>
            </w:pPr>
            <w:r w:rsidRPr="00694A3C">
              <w:rPr>
                <w:sz w:val="20"/>
                <w:szCs w:val="20"/>
              </w:rPr>
              <w:t>For the purposes of individuals and families housed in PSH from the date of this memorandum until public health officials determine no additional special measures are necessary to prevent the spread of COVID-19, a written certification by the individual seeking assistance that they have a qualifying disability is considered acceptable documentation approved by HUD under 24 CFR 578.103(a)(4)(i)(B)(5).</w:t>
            </w:r>
          </w:p>
        </w:tc>
      </w:tr>
      <w:tr w:rsidR="00694A3C" w:rsidRPr="00694A3C" w14:paraId="7AAD5C1A" w14:textId="77777777" w:rsidTr="00694A3C">
        <w:tc>
          <w:tcPr>
            <w:tcW w:w="200" w:type="pct"/>
            <w:shd w:val="clear" w:color="auto" w:fill="FFF2CC" w:themeFill="accent4" w:themeFillTint="33"/>
          </w:tcPr>
          <w:p w14:paraId="6EA83258"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64F1C57D" w14:textId="651EEE48" w:rsidR="00694A3C" w:rsidRPr="00694A3C" w:rsidRDefault="00694A3C" w:rsidP="00500AE5">
            <w:pPr>
              <w:rPr>
                <w:b/>
                <w:bCs/>
                <w:sz w:val="20"/>
                <w:szCs w:val="20"/>
              </w:rPr>
            </w:pPr>
            <w:bookmarkStart w:id="3" w:name="_Hlk36586101"/>
            <w:r w:rsidRPr="00694A3C">
              <w:rPr>
                <w:b/>
                <w:bCs/>
                <w:sz w:val="20"/>
                <w:szCs w:val="20"/>
              </w:rPr>
              <w:t>Limit on Eligible Housing Search and Counseling Services</w:t>
            </w:r>
          </w:p>
          <w:bookmarkEnd w:id="3"/>
          <w:p w14:paraId="2A32328A" w14:textId="77777777" w:rsidR="00694A3C" w:rsidRPr="00694A3C" w:rsidRDefault="00694A3C" w:rsidP="00500AE5">
            <w:pPr>
              <w:rPr>
                <w:sz w:val="20"/>
                <w:szCs w:val="20"/>
              </w:rPr>
            </w:pPr>
            <w:r w:rsidRPr="00694A3C">
              <w:rPr>
                <w:sz w:val="20"/>
                <w:szCs w:val="20"/>
              </w:rPr>
              <w:t>24 CFR 578.53(e)(8)(ii)(B) and 578.53(d)</w:t>
            </w:r>
          </w:p>
        </w:tc>
        <w:tc>
          <w:tcPr>
            <w:tcW w:w="1781" w:type="pct"/>
            <w:shd w:val="clear" w:color="auto" w:fill="FFF2CC" w:themeFill="accent4" w:themeFillTint="33"/>
          </w:tcPr>
          <w:p w14:paraId="62C9A1B6" w14:textId="77777777" w:rsidR="00694A3C" w:rsidRPr="00694A3C" w:rsidRDefault="00694A3C" w:rsidP="00500AE5">
            <w:pPr>
              <w:rPr>
                <w:sz w:val="20"/>
                <w:szCs w:val="20"/>
              </w:rPr>
            </w:pPr>
            <w:r w:rsidRPr="00694A3C">
              <w:rPr>
                <w:sz w:val="20"/>
                <w:szCs w:val="20"/>
              </w:rPr>
              <w:t xml:space="preserve">The limitation on eligible housing search and counseling activities is waived so that CoC Program funds may be used for up to 6 months of a program participant’s utility arrears and up to 6 months of program participant’s rent arrears, when those arrears make it difficult to obtain housing. This waiver is in effect </w:t>
            </w:r>
            <w:r w:rsidRPr="00694A3C">
              <w:rPr>
                <w:b/>
                <w:bCs/>
                <w:sz w:val="20"/>
                <w:szCs w:val="20"/>
              </w:rPr>
              <w:t>one-year beginning on the date of this memorandum</w:t>
            </w:r>
            <w:r w:rsidRPr="00694A3C">
              <w:rPr>
                <w:sz w:val="20"/>
                <w:szCs w:val="20"/>
              </w:rPr>
              <w:t>.</w:t>
            </w:r>
          </w:p>
        </w:tc>
        <w:tc>
          <w:tcPr>
            <w:tcW w:w="1778" w:type="pct"/>
            <w:shd w:val="clear" w:color="auto" w:fill="FFF2CC" w:themeFill="accent4" w:themeFillTint="33"/>
          </w:tcPr>
          <w:p w14:paraId="6C4DAB31" w14:textId="77777777" w:rsidR="00694A3C" w:rsidRPr="00694A3C" w:rsidRDefault="00694A3C" w:rsidP="00500AE5">
            <w:pPr>
              <w:rPr>
                <w:sz w:val="20"/>
                <w:szCs w:val="20"/>
              </w:rPr>
            </w:pPr>
            <w:r w:rsidRPr="00694A3C">
              <w:rPr>
                <w:sz w:val="20"/>
                <w:szCs w:val="20"/>
              </w:rPr>
              <w:t xml:space="preserve">Only applies when those arrears make it difficult to obtain housing. </w:t>
            </w:r>
          </w:p>
        </w:tc>
      </w:tr>
      <w:tr w:rsidR="00694A3C" w:rsidRPr="00694A3C" w14:paraId="72EA59B8" w14:textId="77777777" w:rsidTr="00694A3C">
        <w:tc>
          <w:tcPr>
            <w:tcW w:w="200" w:type="pct"/>
            <w:shd w:val="clear" w:color="auto" w:fill="FFF2CC" w:themeFill="accent4" w:themeFillTint="33"/>
          </w:tcPr>
          <w:p w14:paraId="32A7A7A1"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67B34176" w14:textId="45A05347" w:rsidR="00694A3C" w:rsidRPr="00694A3C" w:rsidRDefault="00694A3C" w:rsidP="00500AE5">
            <w:pPr>
              <w:rPr>
                <w:b/>
                <w:bCs/>
                <w:sz w:val="20"/>
                <w:szCs w:val="20"/>
              </w:rPr>
            </w:pPr>
            <w:bookmarkStart w:id="4" w:name="_Hlk36587171"/>
            <w:r w:rsidRPr="00694A3C">
              <w:rPr>
                <w:b/>
                <w:bCs/>
                <w:sz w:val="20"/>
                <w:szCs w:val="20"/>
              </w:rPr>
              <w:t xml:space="preserve">Permanent Housing-Rapid Re-housing </w:t>
            </w:r>
            <w:r w:rsidRPr="00694A3C">
              <w:rPr>
                <w:b/>
                <w:bCs/>
                <w:sz w:val="20"/>
                <w:szCs w:val="20"/>
              </w:rPr>
              <w:lastRenderedPageBreak/>
              <w:t>Monthly Case Management</w:t>
            </w:r>
          </w:p>
          <w:bookmarkEnd w:id="4"/>
          <w:p w14:paraId="62E33AFC" w14:textId="77777777" w:rsidR="00694A3C" w:rsidRPr="00694A3C" w:rsidRDefault="00694A3C" w:rsidP="00500AE5">
            <w:pPr>
              <w:rPr>
                <w:sz w:val="20"/>
                <w:szCs w:val="20"/>
              </w:rPr>
            </w:pPr>
            <w:r w:rsidRPr="00694A3C">
              <w:rPr>
                <w:sz w:val="20"/>
                <w:szCs w:val="20"/>
              </w:rPr>
              <w:t>24 CFR 578.37(a)(1)(ii)(F)</w:t>
            </w:r>
          </w:p>
        </w:tc>
        <w:tc>
          <w:tcPr>
            <w:tcW w:w="1781" w:type="pct"/>
            <w:shd w:val="clear" w:color="auto" w:fill="FFF2CC" w:themeFill="accent4" w:themeFillTint="33"/>
          </w:tcPr>
          <w:p w14:paraId="425ABDB3" w14:textId="77777777" w:rsidR="00694A3C" w:rsidRPr="00694A3C" w:rsidRDefault="00694A3C" w:rsidP="00500AE5">
            <w:pPr>
              <w:rPr>
                <w:sz w:val="20"/>
                <w:szCs w:val="20"/>
              </w:rPr>
            </w:pPr>
            <w:r w:rsidRPr="00694A3C">
              <w:rPr>
                <w:sz w:val="20"/>
                <w:szCs w:val="20"/>
              </w:rPr>
              <w:lastRenderedPageBreak/>
              <w:t xml:space="preserve">This requirement in 24 CFR 578.37(a)(1)(ii)(F) that projects require program participants to meet </w:t>
            </w:r>
            <w:r w:rsidRPr="00694A3C">
              <w:rPr>
                <w:sz w:val="20"/>
                <w:szCs w:val="20"/>
              </w:rPr>
              <w:lastRenderedPageBreak/>
              <w:t xml:space="preserve">with case mangers not less than once per month is waived for all permanent housing- rapid re-housing projects for </w:t>
            </w:r>
            <w:r w:rsidRPr="00694A3C">
              <w:rPr>
                <w:b/>
                <w:bCs/>
                <w:sz w:val="20"/>
                <w:szCs w:val="20"/>
              </w:rPr>
              <w:t>two months beginning on the date of this memorandum</w:t>
            </w:r>
            <w:r w:rsidRPr="00694A3C">
              <w:rPr>
                <w:sz w:val="20"/>
                <w:szCs w:val="20"/>
              </w:rPr>
              <w:t>.</w:t>
            </w:r>
          </w:p>
        </w:tc>
        <w:tc>
          <w:tcPr>
            <w:tcW w:w="1778" w:type="pct"/>
            <w:shd w:val="clear" w:color="auto" w:fill="FFF2CC" w:themeFill="accent4" w:themeFillTint="33"/>
          </w:tcPr>
          <w:p w14:paraId="2E2C41F0" w14:textId="77777777" w:rsidR="00694A3C" w:rsidRPr="00694A3C" w:rsidRDefault="00694A3C" w:rsidP="00500AE5">
            <w:pPr>
              <w:rPr>
                <w:sz w:val="20"/>
                <w:szCs w:val="20"/>
              </w:rPr>
            </w:pPr>
            <w:r w:rsidRPr="00694A3C">
              <w:rPr>
                <w:sz w:val="20"/>
                <w:szCs w:val="20"/>
              </w:rPr>
              <w:lastRenderedPageBreak/>
              <w:t>N/A</w:t>
            </w:r>
          </w:p>
        </w:tc>
      </w:tr>
      <w:tr w:rsidR="00694A3C" w:rsidRPr="00694A3C" w14:paraId="4A7C5BC5" w14:textId="77777777" w:rsidTr="00694A3C">
        <w:tc>
          <w:tcPr>
            <w:tcW w:w="200" w:type="pct"/>
            <w:shd w:val="clear" w:color="auto" w:fill="FFF2CC" w:themeFill="accent4" w:themeFillTint="33"/>
          </w:tcPr>
          <w:p w14:paraId="19DEF5B3"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2380D744" w14:textId="64D6A759" w:rsidR="00694A3C" w:rsidRPr="00694A3C" w:rsidRDefault="00694A3C" w:rsidP="00500AE5">
            <w:pPr>
              <w:rPr>
                <w:b/>
                <w:bCs/>
                <w:sz w:val="20"/>
                <w:szCs w:val="20"/>
              </w:rPr>
            </w:pPr>
            <w:bookmarkStart w:id="5" w:name="_Hlk36587247"/>
            <w:r w:rsidRPr="00694A3C">
              <w:rPr>
                <w:b/>
                <w:bCs/>
                <w:sz w:val="20"/>
                <w:szCs w:val="20"/>
              </w:rPr>
              <w:t>Housing Quality Standards (HQS) – Initial Physical Inspection of Unit</w:t>
            </w:r>
          </w:p>
          <w:bookmarkEnd w:id="5"/>
          <w:p w14:paraId="20CF0314" w14:textId="77777777" w:rsidR="00694A3C" w:rsidRPr="00694A3C" w:rsidRDefault="00694A3C" w:rsidP="00500AE5">
            <w:pPr>
              <w:rPr>
                <w:sz w:val="20"/>
                <w:szCs w:val="20"/>
              </w:rPr>
            </w:pPr>
            <w:r w:rsidRPr="00694A3C">
              <w:rPr>
                <w:sz w:val="20"/>
                <w:szCs w:val="20"/>
              </w:rPr>
              <w:t>24 CFR 578.75(b)(1)</w:t>
            </w:r>
          </w:p>
        </w:tc>
        <w:tc>
          <w:tcPr>
            <w:tcW w:w="1781" w:type="pct"/>
            <w:shd w:val="clear" w:color="auto" w:fill="FFF2CC" w:themeFill="accent4" w:themeFillTint="33"/>
          </w:tcPr>
          <w:p w14:paraId="40B5D2A8" w14:textId="77777777" w:rsidR="00694A3C" w:rsidRPr="00694A3C" w:rsidRDefault="00694A3C" w:rsidP="00500AE5">
            <w:pPr>
              <w:rPr>
                <w:sz w:val="20"/>
                <w:szCs w:val="20"/>
              </w:rPr>
            </w:pPr>
            <w:r w:rsidRPr="00694A3C">
              <w:rPr>
                <w:sz w:val="20"/>
                <w:szCs w:val="20"/>
              </w:rPr>
              <w:t xml:space="preserve">This waiver of the requirement in 24 CFR 578.75(b)(1) that the recipient or subrecipient physically inspect each unit to assure that the unit meets HQS before providing assistance on behalf of a program participant is in effect for </w:t>
            </w:r>
            <w:r w:rsidRPr="00694A3C">
              <w:rPr>
                <w:b/>
                <w:bCs/>
                <w:sz w:val="20"/>
                <w:szCs w:val="20"/>
              </w:rPr>
              <w:t>6-months beginning on the date of this memorandum</w:t>
            </w:r>
            <w:r w:rsidRPr="00694A3C">
              <w:rPr>
                <w:sz w:val="20"/>
                <w:szCs w:val="20"/>
              </w:rPr>
              <w:t>.</w:t>
            </w:r>
          </w:p>
        </w:tc>
        <w:tc>
          <w:tcPr>
            <w:tcW w:w="1778" w:type="pct"/>
            <w:shd w:val="clear" w:color="auto" w:fill="FFF2CC" w:themeFill="accent4" w:themeFillTint="33"/>
          </w:tcPr>
          <w:p w14:paraId="1A5F604F" w14:textId="77777777" w:rsidR="00694A3C" w:rsidRPr="00694A3C" w:rsidRDefault="00694A3C" w:rsidP="00500AE5">
            <w:pPr>
              <w:rPr>
                <w:sz w:val="20"/>
                <w:szCs w:val="20"/>
              </w:rPr>
            </w:pPr>
            <w:r w:rsidRPr="00694A3C">
              <w:rPr>
                <w:sz w:val="20"/>
                <w:szCs w:val="20"/>
              </w:rPr>
              <w:t xml:space="preserve">Recipients and subrecipients </w:t>
            </w:r>
            <w:r w:rsidRPr="00694A3C">
              <w:rPr>
                <w:b/>
                <w:bCs/>
                <w:sz w:val="20"/>
                <w:szCs w:val="20"/>
              </w:rPr>
              <w:t>must</w:t>
            </w:r>
            <w:r w:rsidRPr="00694A3C">
              <w:rPr>
                <w:sz w:val="20"/>
                <w:szCs w:val="20"/>
              </w:rPr>
              <w:t xml:space="preserve"> meet the following criteria:</w:t>
            </w:r>
          </w:p>
          <w:p w14:paraId="57FE720B" w14:textId="77777777" w:rsidR="00694A3C" w:rsidRPr="00694A3C" w:rsidRDefault="00694A3C" w:rsidP="00500AE5">
            <w:pPr>
              <w:rPr>
                <w:sz w:val="20"/>
                <w:szCs w:val="20"/>
              </w:rPr>
            </w:pPr>
            <w:r w:rsidRPr="00694A3C">
              <w:rPr>
                <w:sz w:val="20"/>
                <w:szCs w:val="20"/>
              </w:rPr>
              <w:t xml:space="preserve">a. The recipient </w:t>
            </w:r>
            <w:proofErr w:type="gramStart"/>
            <w:r w:rsidRPr="00694A3C">
              <w:rPr>
                <w:sz w:val="20"/>
                <w:szCs w:val="20"/>
              </w:rPr>
              <w:t>is able to</w:t>
            </w:r>
            <w:proofErr w:type="gramEnd"/>
            <w:r w:rsidRPr="00694A3C">
              <w:rPr>
                <w:sz w:val="20"/>
                <w:szCs w:val="20"/>
              </w:rPr>
              <w:t xml:space="preserve"> visually inspect the unit using technology, such as video streaming, to ensure the unit meets HQS before any assistance is provided; and</w:t>
            </w:r>
          </w:p>
          <w:p w14:paraId="5769E470" w14:textId="77777777" w:rsidR="00694A3C" w:rsidRPr="00694A3C" w:rsidRDefault="00694A3C" w:rsidP="00500AE5">
            <w:pPr>
              <w:rPr>
                <w:sz w:val="20"/>
                <w:szCs w:val="20"/>
              </w:rPr>
            </w:pPr>
          </w:p>
          <w:p w14:paraId="146D91BA" w14:textId="77777777" w:rsidR="00694A3C" w:rsidRPr="00694A3C" w:rsidRDefault="00694A3C" w:rsidP="00500AE5">
            <w:pPr>
              <w:rPr>
                <w:sz w:val="20"/>
                <w:szCs w:val="20"/>
              </w:rPr>
            </w:pPr>
            <w:r w:rsidRPr="00694A3C">
              <w:rPr>
                <w:sz w:val="20"/>
                <w:szCs w:val="20"/>
              </w:rPr>
              <w:t>b. The recipient or subrecipient has written policies to physically reinspect the unit within 3 months after the health officials determine special measures to prevent the spread of COVID-19 are no longer necessary.</w:t>
            </w:r>
          </w:p>
        </w:tc>
      </w:tr>
      <w:tr w:rsidR="00694A3C" w:rsidRPr="00694A3C" w14:paraId="49668350" w14:textId="77777777" w:rsidTr="00694A3C">
        <w:tc>
          <w:tcPr>
            <w:tcW w:w="200" w:type="pct"/>
            <w:shd w:val="clear" w:color="auto" w:fill="FFF2CC" w:themeFill="accent4" w:themeFillTint="33"/>
          </w:tcPr>
          <w:p w14:paraId="0CD08BB8"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1FD96E2F" w14:textId="19848AE1" w:rsidR="00694A3C" w:rsidRPr="00694A3C" w:rsidRDefault="00694A3C" w:rsidP="00500AE5">
            <w:pPr>
              <w:rPr>
                <w:b/>
                <w:bCs/>
                <w:sz w:val="20"/>
                <w:szCs w:val="20"/>
              </w:rPr>
            </w:pPr>
            <w:r w:rsidRPr="00694A3C">
              <w:rPr>
                <w:b/>
                <w:bCs/>
                <w:sz w:val="20"/>
                <w:szCs w:val="20"/>
              </w:rPr>
              <w:t>HQS – Re-Inspection of Units</w:t>
            </w:r>
          </w:p>
          <w:p w14:paraId="7364BDD7" w14:textId="77777777" w:rsidR="00694A3C" w:rsidRPr="00694A3C" w:rsidRDefault="00694A3C" w:rsidP="00500AE5">
            <w:pPr>
              <w:rPr>
                <w:sz w:val="20"/>
                <w:szCs w:val="20"/>
              </w:rPr>
            </w:pPr>
            <w:r w:rsidRPr="00694A3C">
              <w:rPr>
                <w:sz w:val="20"/>
                <w:szCs w:val="20"/>
              </w:rPr>
              <w:t>24 CFR 578.75(b)(2)</w:t>
            </w:r>
          </w:p>
        </w:tc>
        <w:tc>
          <w:tcPr>
            <w:tcW w:w="1781" w:type="pct"/>
            <w:shd w:val="clear" w:color="auto" w:fill="FFF2CC" w:themeFill="accent4" w:themeFillTint="33"/>
          </w:tcPr>
          <w:p w14:paraId="7AD3C6DB" w14:textId="77777777" w:rsidR="00694A3C" w:rsidRPr="00694A3C" w:rsidRDefault="00694A3C" w:rsidP="00500AE5">
            <w:pPr>
              <w:rPr>
                <w:sz w:val="20"/>
                <w:szCs w:val="20"/>
              </w:rPr>
            </w:pPr>
            <w:r w:rsidRPr="00694A3C">
              <w:rPr>
                <w:sz w:val="20"/>
                <w:szCs w:val="20"/>
              </w:rPr>
              <w:t xml:space="preserve">This requirement in 24 CFR 578(b)(2) is waived for </w:t>
            </w:r>
            <w:r w:rsidRPr="00694A3C">
              <w:rPr>
                <w:b/>
                <w:bCs/>
                <w:sz w:val="20"/>
                <w:szCs w:val="20"/>
              </w:rPr>
              <w:t>1-year beginning on the date of this memorandum</w:t>
            </w:r>
            <w:r w:rsidRPr="00694A3C">
              <w:rPr>
                <w:sz w:val="20"/>
                <w:szCs w:val="20"/>
              </w:rPr>
              <w:t>.</w:t>
            </w:r>
          </w:p>
        </w:tc>
        <w:tc>
          <w:tcPr>
            <w:tcW w:w="1778" w:type="pct"/>
            <w:shd w:val="clear" w:color="auto" w:fill="FFF2CC" w:themeFill="accent4" w:themeFillTint="33"/>
          </w:tcPr>
          <w:p w14:paraId="2980B32D" w14:textId="77777777" w:rsidR="00694A3C" w:rsidRPr="00694A3C" w:rsidRDefault="00694A3C" w:rsidP="00500AE5">
            <w:pPr>
              <w:rPr>
                <w:sz w:val="20"/>
                <w:szCs w:val="20"/>
              </w:rPr>
            </w:pPr>
            <w:r w:rsidRPr="00694A3C">
              <w:rPr>
                <w:sz w:val="20"/>
                <w:szCs w:val="20"/>
              </w:rPr>
              <w:t>N/A</w:t>
            </w:r>
          </w:p>
        </w:tc>
      </w:tr>
      <w:tr w:rsidR="00694A3C" w:rsidRPr="00694A3C" w14:paraId="4A91C523" w14:textId="77777777" w:rsidTr="00694A3C">
        <w:tc>
          <w:tcPr>
            <w:tcW w:w="200" w:type="pct"/>
            <w:shd w:val="clear" w:color="auto" w:fill="FFF2CC" w:themeFill="accent4" w:themeFillTint="33"/>
          </w:tcPr>
          <w:p w14:paraId="2F5DC23F" w14:textId="77777777" w:rsidR="00694A3C" w:rsidRPr="00694A3C" w:rsidRDefault="00694A3C" w:rsidP="00500AE5">
            <w:pPr>
              <w:rPr>
                <w:b/>
                <w:bCs/>
                <w:sz w:val="20"/>
                <w:szCs w:val="20"/>
              </w:rPr>
            </w:pPr>
          </w:p>
        </w:tc>
        <w:tc>
          <w:tcPr>
            <w:tcW w:w="1241" w:type="pct"/>
            <w:shd w:val="clear" w:color="auto" w:fill="FFF2CC" w:themeFill="accent4" w:themeFillTint="33"/>
            <w:vAlign w:val="center"/>
          </w:tcPr>
          <w:p w14:paraId="7CC87637" w14:textId="378CCB3D" w:rsidR="00694A3C" w:rsidRPr="00694A3C" w:rsidRDefault="00694A3C" w:rsidP="00500AE5">
            <w:pPr>
              <w:rPr>
                <w:b/>
                <w:bCs/>
                <w:sz w:val="20"/>
                <w:szCs w:val="20"/>
              </w:rPr>
            </w:pPr>
            <w:r w:rsidRPr="00694A3C">
              <w:rPr>
                <w:b/>
                <w:bCs/>
                <w:sz w:val="20"/>
                <w:szCs w:val="20"/>
              </w:rPr>
              <w:t>One-Year Lease Requirement</w:t>
            </w:r>
          </w:p>
          <w:p w14:paraId="316C1A3C" w14:textId="77777777" w:rsidR="00694A3C" w:rsidRPr="00694A3C" w:rsidRDefault="00694A3C" w:rsidP="00500AE5">
            <w:pPr>
              <w:rPr>
                <w:b/>
                <w:bCs/>
                <w:sz w:val="20"/>
                <w:szCs w:val="20"/>
              </w:rPr>
            </w:pPr>
            <w:r w:rsidRPr="00694A3C">
              <w:rPr>
                <w:b/>
                <w:bCs/>
                <w:sz w:val="20"/>
                <w:szCs w:val="20"/>
              </w:rPr>
              <w:t>24 CFR 578.3, definition of permanent housing,</w:t>
            </w:r>
            <w:r w:rsidRPr="00694A3C">
              <w:rPr>
                <w:sz w:val="20"/>
                <w:szCs w:val="20"/>
              </w:rPr>
              <w:t xml:space="preserve"> 24 CFR 578.51(l)(1)</w:t>
            </w:r>
          </w:p>
        </w:tc>
        <w:tc>
          <w:tcPr>
            <w:tcW w:w="1781" w:type="pct"/>
            <w:shd w:val="clear" w:color="auto" w:fill="FFF2CC" w:themeFill="accent4" w:themeFillTint="33"/>
          </w:tcPr>
          <w:p w14:paraId="1B374C30" w14:textId="77777777" w:rsidR="00694A3C" w:rsidRPr="00694A3C" w:rsidRDefault="00694A3C" w:rsidP="00500AE5">
            <w:pPr>
              <w:rPr>
                <w:sz w:val="20"/>
                <w:szCs w:val="20"/>
              </w:rPr>
            </w:pPr>
            <w:r w:rsidRPr="00694A3C">
              <w:rPr>
                <w:sz w:val="20"/>
                <w:szCs w:val="20"/>
              </w:rPr>
              <w:t xml:space="preserve">The one-year lease requirement is waived for </w:t>
            </w:r>
            <w:r w:rsidRPr="00694A3C">
              <w:rPr>
                <w:b/>
                <w:bCs/>
                <w:sz w:val="20"/>
                <w:szCs w:val="20"/>
              </w:rPr>
              <w:t>six-months beginning on the date of this memorandum.</w:t>
            </w:r>
          </w:p>
        </w:tc>
        <w:tc>
          <w:tcPr>
            <w:tcW w:w="1778" w:type="pct"/>
            <w:shd w:val="clear" w:color="auto" w:fill="FFF2CC" w:themeFill="accent4" w:themeFillTint="33"/>
          </w:tcPr>
          <w:p w14:paraId="33727F7E" w14:textId="77777777" w:rsidR="00694A3C" w:rsidRPr="00694A3C" w:rsidRDefault="00694A3C" w:rsidP="00500AE5">
            <w:pPr>
              <w:rPr>
                <w:sz w:val="20"/>
                <w:szCs w:val="20"/>
              </w:rPr>
            </w:pPr>
            <w:r w:rsidRPr="00694A3C">
              <w:rPr>
                <w:sz w:val="20"/>
                <w:szCs w:val="20"/>
              </w:rPr>
              <w:t>The initial lease term of all leases must be for more than one month.</w:t>
            </w:r>
          </w:p>
        </w:tc>
      </w:tr>
    </w:tbl>
    <w:p w14:paraId="290C979B" w14:textId="77777777" w:rsidR="001F4185" w:rsidRDefault="001F4185" w:rsidP="00B16EE7">
      <w:pPr>
        <w:shd w:val="clear" w:color="auto" w:fill="FFFFFF"/>
        <w:rPr>
          <w:rFonts w:eastAsia="Times New Roman"/>
          <w:b/>
          <w:bCs/>
          <w:color w:val="333333"/>
        </w:rPr>
      </w:pPr>
    </w:p>
    <w:p w14:paraId="6320DA8A" w14:textId="5841AC43" w:rsidR="001F4185" w:rsidRDefault="00105DC7" w:rsidP="00B16EE7">
      <w:pPr>
        <w:shd w:val="clear" w:color="auto" w:fill="FFFFFF"/>
        <w:rPr>
          <w:rFonts w:eastAsia="Times New Roman"/>
          <w:b/>
          <w:bCs/>
          <w:color w:val="333333"/>
        </w:rPr>
      </w:pPr>
      <w:r>
        <w:rPr>
          <w:rFonts w:eastAsia="Times New Roman"/>
          <w:b/>
          <w:bCs/>
          <w:color w:val="333333"/>
        </w:rPr>
        <w:t>To maintain administrative record</w:t>
      </w:r>
      <w:r w:rsidR="005668A2">
        <w:rPr>
          <w:rFonts w:eastAsia="Times New Roman"/>
          <w:b/>
          <w:bCs/>
          <w:color w:val="333333"/>
        </w:rPr>
        <w:t>s</w:t>
      </w:r>
      <w:r>
        <w:rPr>
          <w:rFonts w:eastAsia="Times New Roman"/>
          <w:b/>
          <w:bCs/>
          <w:color w:val="333333"/>
        </w:rPr>
        <w:t xml:space="preserve"> for the waived provisions, we will </w:t>
      </w:r>
      <w:r w:rsidR="005668A2">
        <w:rPr>
          <w:rFonts w:eastAsia="Times New Roman"/>
          <w:b/>
          <w:bCs/>
          <w:color w:val="333333"/>
        </w:rPr>
        <w:t>obtain the documentation described below, to the best of our ability</w:t>
      </w:r>
      <w:r>
        <w:rPr>
          <w:rFonts w:eastAsia="Times New Roman"/>
          <w:b/>
          <w:bCs/>
          <w:color w:val="333333"/>
        </w:rPr>
        <w:t xml:space="preserve"> given the public health emergency. In instances where we are unable to obtain the records outlined below, we will document all efforts taken to obtain them, which will serve as our administrative record. </w:t>
      </w:r>
    </w:p>
    <w:p w14:paraId="331BE48D" w14:textId="77777777" w:rsidR="009D4462" w:rsidRDefault="009D4462" w:rsidP="00B16EE7">
      <w:pPr>
        <w:shd w:val="clear" w:color="auto" w:fill="FFFFFF"/>
        <w:rPr>
          <w:rFonts w:eastAsia="Times New Roman"/>
          <w:b/>
          <w:bCs/>
          <w:color w:val="333333"/>
        </w:rPr>
      </w:pPr>
    </w:p>
    <w:p w14:paraId="22545C90" w14:textId="77777777" w:rsidR="005668A2" w:rsidRDefault="005668A2" w:rsidP="005F4FC1">
      <w:pPr>
        <w:shd w:val="clear" w:color="auto" w:fill="FFFFFF"/>
        <w:rPr>
          <w:rFonts w:eastAsia="Times New Roman"/>
          <w:b/>
          <w:bCs/>
          <w:color w:val="333333"/>
        </w:rPr>
      </w:pPr>
      <w:r>
        <w:rPr>
          <w:rFonts w:eastAsia="Times New Roman"/>
          <w:b/>
          <w:bCs/>
          <w:color w:val="333333"/>
        </w:rPr>
        <w:t>(Select Those That Apply):</w:t>
      </w:r>
    </w:p>
    <w:p w14:paraId="1CFC82E8" w14:textId="6CD4AD54" w:rsidR="005668A2" w:rsidRPr="00E03CD5" w:rsidRDefault="005668A2" w:rsidP="005668A2">
      <w:pPr>
        <w:rPr>
          <w:b/>
          <w:bCs/>
        </w:rPr>
      </w:pPr>
      <w:r>
        <w:rPr>
          <w:b/>
          <w:bCs/>
          <w:sz w:val="28"/>
          <w:szCs w:val="28"/>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Style w:val="TableGrid"/>
        <w:tblW w:w="5000" w:type="pct"/>
        <w:shd w:val="clear" w:color="auto" w:fill="FFF2CC" w:themeFill="accent4" w:themeFillTint="33"/>
        <w:tblLook w:val="04A0" w:firstRow="1" w:lastRow="0" w:firstColumn="1" w:lastColumn="0" w:noHBand="0" w:noVBand="1"/>
      </w:tblPr>
      <w:tblGrid>
        <w:gridCol w:w="374"/>
        <w:gridCol w:w="2429"/>
        <w:gridCol w:w="3190"/>
        <w:gridCol w:w="3357"/>
      </w:tblGrid>
      <w:tr w:rsidR="00CA3513" w:rsidRPr="00CA3513" w14:paraId="4EBB3991" w14:textId="77777777" w:rsidTr="00CA3513">
        <w:tc>
          <w:tcPr>
            <w:tcW w:w="200" w:type="pct"/>
            <w:shd w:val="clear" w:color="auto" w:fill="FFD966" w:themeFill="accent4" w:themeFillTint="99"/>
            <w:vAlign w:val="center"/>
          </w:tcPr>
          <w:p w14:paraId="0C453586" w14:textId="5146CF86" w:rsidR="00CA3513" w:rsidRPr="00CA3513" w:rsidRDefault="00CA3513" w:rsidP="00500AE5">
            <w:pPr>
              <w:jc w:val="center"/>
              <w:rPr>
                <w:b/>
                <w:bCs/>
                <w:sz w:val="20"/>
                <w:szCs w:val="20"/>
              </w:rPr>
            </w:pPr>
            <w:r>
              <w:rPr>
                <w:b/>
                <w:bCs/>
                <w:sz w:val="20"/>
                <w:szCs w:val="20"/>
              </w:rPr>
              <w:sym w:font="Wingdings" w:char="F0FC"/>
            </w:r>
          </w:p>
        </w:tc>
        <w:tc>
          <w:tcPr>
            <w:tcW w:w="1299" w:type="pct"/>
            <w:shd w:val="clear" w:color="auto" w:fill="FFD966" w:themeFill="accent4" w:themeFillTint="99"/>
            <w:vAlign w:val="center"/>
          </w:tcPr>
          <w:p w14:paraId="5623034F" w14:textId="77777777" w:rsidR="00CA3513" w:rsidRPr="00CA3513" w:rsidRDefault="00CA3513" w:rsidP="00500AE5">
            <w:pPr>
              <w:jc w:val="center"/>
              <w:rPr>
                <w:b/>
                <w:bCs/>
                <w:sz w:val="20"/>
                <w:szCs w:val="20"/>
              </w:rPr>
            </w:pPr>
            <w:bookmarkStart w:id="6" w:name="_Hlk36622906"/>
            <w:r w:rsidRPr="00CA3513">
              <w:rPr>
                <w:b/>
                <w:bCs/>
                <w:sz w:val="20"/>
                <w:szCs w:val="20"/>
              </w:rPr>
              <w:t>Requirement</w:t>
            </w:r>
          </w:p>
        </w:tc>
        <w:tc>
          <w:tcPr>
            <w:tcW w:w="1706" w:type="pct"/>
            <w:shd w:val="clear" w:color="auto" w:fill="FFD966" w:themeFill="accent4" w:themeFillTint="99"/>
            <w:vAlign w:val="center"/>
          </w:tcPr>
          <w:p w14:paraId="1842DF4B" w14:textId="77777777" w:rsidR="00CA3513" w:rsidRPr="00CA3513" w:rsidRDefault="00CA3513" w:rsidP="00500AE5">
            <w:pPr>
              <w:jc w:val="center"/>
              <w:rPr>
                <w:b/>
                <w:bCs/>
                <w:sz w:val="20"/>
                <w:szCs w:val="20"/>
              </w:rPr>
            </w:pPr>
            <w:r w:rsidRPr="00CA3513">
              <w:rPr>
                <w:b/>
                <w:bCs/>
                <w:sz w:val="20"/>
                <w:szCs w:val="20"/>
              </w:rPr>
              <w:t>Suggested Recipient Documentation*</w:t>
            </w:r>
          </w:p>
        </w:tc>
        <w:tc>
          <w:tcPr>
            <w:tcW w:w="1795" w:type="pct"/>
            <w:shd w:val="clear" w:color="auto" w:fill="FFD966" w:themeFill="accent4" w:themeFillTint="99"/>
            <w:vAlign w:val="center"/>
          </w:tcPr>
          <w:p w14:paraId="587D01CF" w14:textId="77777777" w:rsidR="00CA3513" w:rsidRPr="00CA3513" w:rsidRDefault="00CA3513" w:rsidP="00500AE5">
            <w:pPr>
              <w:jc w:val="center"/>
              <w:rPr>
                <w:b/>
                <w:bCs/>
                <w:sz w:val="20"/>
                <w:szCs w:val="20"/>
              </w:rPr>
            </w:pPr>
            <w:r w:rsidRPr="00CA3513">
              <w:rPr>
                <w:b/>
                <w:bCs/>
                <w:sz w:val="20"/>
                <w:szCs w:val="20"/>
              </w:rPr>
              <w:t>Suggested Client Level Documentation*</w:t>
            </w:r>
          </w:p>
        </w:tc>
      </w:tr>
      <w:tr w:rsidR="00CA3513" w:rsidRPr="00CA3513" w14:paraId="48694020" w14:textId="77777777" w:rsidTr="00CA3513">
        <w:tc>
          <w:tcPr>
            <w:tcW w:w="200" w:type="pct"/>
            <w:shd w:val="clear" w:color="auto" w:fill="FFF2CC" w:themeFill="accent4" w:themeFillTint="33"/>
            <w:vAlign w:val="center"/>
          </w:tcPr>
          <w:p w14:paraId="7F9C4192" w14:textId="1D27651D"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288C6C56" w14:textId="77777777" w:rsidR="00CA3513" w:rsidRPr="00CA3513" w:rsidRDefault="00CA3513" w:rsidP="00500AE5">
            <w:pPr>
              <w:rPr>
                <w:b/>
                <w:bCs/>
                <w:sz w:val="20"/>
                <w:szCs w:val="20"/>
              </w:rPr>
            </w:pPr>
            <w:r w:rsidRPr="00CA3513">
              <w:rPr>
                <w:b/>
                <w:bCs/>
                <w:sz w:val="20"/>
                <w:szCs w:val="20"/>
              </w:rPr>
              <w:t>Fair Market Rent for Individual Units and Leasing Costs</w:t>
            </w:r>
          </w:p>
          <w:p w14:paraId="2E24E11B" w14:textId="77777777" w:rsidR="00CA3513" w:rsidRPr="00CA3513" w:rsidRDefault="00CA3513" w:rsidP="00500AE5">
            <w:pPr>
              <w:rPr>
                <w:sz w:val="20"/>
                <w:szCs w:val="20"/>
              </w:rPr>
            </w:pPr>
            <w:r w:rsidRPr="00CA3513">
              <w:rPr>
                <w:sz w:val="20"/>
                <w:szCs w:val="20"/>
              </w:rPr>
              <w:t>24 CFR 578.49(b)(2)</w:t>
            </w:r>
          </w:p>
        </w:tc>
        <w:tc>
          <w:tcPr>
            <w:tcW w:w="1706" w:type="pct"/>
            <w:shd w:val="clear" w:color="auto" w:fill="FFF2CC" w:themeFill="accent4" w:themeFillTint="33"/>
          </w:tcPr>
          <w:p w14:paraId="57DC95AF" w14:textId="77777777" w:rsidR="00CA3513" w:rsidRPr="00CA3513" w:rsidRDefault="00CA3513" w:rsidP="00500AE5">
            <w:pPr>
              <w:rPr>
                <w:sz w:val="20"/>
                <w:szCs w:val="20"/>
              </w:rPr>
            </w:pPr>
            <w:r w:rsidRPr="00CA3513">
              <w:rPr>
                <w:sz w:val="20"/>
                <w:szCs w:val="20"/>
              </w:rPr>
              <w:t>1) Documentation that FMR limits are impeding grantee’s ability to find units for clients as a result of COVID-19; 2) Copy of waiver notification sent to HUD; 3) Emergency recordkeeping policies and procedures</w:t>
            </w:r>
          </w:p>
        </w:tc>
        <w:tc>
          <w:tcPr>
            <w:tcW w:w="1795" w:type="pct"/>
            <w:shd w:val="clear" w:color="auto" w:fill="FFF2CC" w:themeFill="accent4" w:themeFillTint="33"/>
          </w:tcPr>
          <w:p w14:paraId="4467425A" w14:textId="77777777" w:rsidR="00CA3513" w:rsidRPr="00CA3513" w:rsidRDefault="00CA3513" w:rsidP="00500AE5">
            <w:pPr>
              <w:rPr>
                <w:b/>
                <w:sz w:val="20"/>
                <w:szCs w:val="20"/>
              </w:rPr>
            </w:pPr>
            <w:r w:rsidRPr="00CA3513">
              <w:rPr>
                <w:sz w:val="20"/>
                <w:szCs w:val="20"/>
              </w:rPr>
              <w:t>1) A copy of the lease clearly displaying the date of execution; 2) a note to file noting the date of the COVID-19 Memorandum and its application to the client’s lease; 3) a completed rent reasonableness analysis.</w:t>
            </w:r>
          </w:p>
        </w:tc>
      </w:tr>
      <w:tr w:rsidR="00CA3513" w:rsidRPr="00CA3513" w14:paraId="07F7EACE" w14:textId="77777777" w:rsidTr="00CA3513">
        <w:tc>
          <w:tcPr>
            <w:tcW w:w="200" w:type="pct"/>
            <w:shd w:val="clear" w:color="auto" w:fill="FFF2CC" w:themeFill="accent4" w:themeFillTint="33"/>
            <w:vAlign w:val="center"/>
          </w:tcPr>
          <w:p w14:paraId="08CDE5C4" w14:textId="0B5EC901"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5DF45762" w14:textId="77777777" w:rsidR="00CA3513" w:rsidRPr="00CA3513" w:rsidRDefault="00CA3513" w:rsidP="00500AE5">
            <w:pPr>
              <w:rPr>
                <w:b/>
                <w:bCs/>
                <w:sz w:val="20"/>
                <w:szCs w:val="20"/>
              </w:rPr>
            </w:pPr>
            <w:r w:rsidRPr="00CA3513">
              <w:rPr>
                <w:b/>
                <w:bCs/>
                <w:sz w:val="20"/>
                <w:szCs w:val="20"/>
              </w:rPr>
              <w:t>Disability Documentation for Permanent Supportive Housing (PSH)</w:t>
            </w:r>
          </w:p>
          <w:p w14:paraId="01C939E0" w14:textId="77777777" w:rsidR="00CA3513" w:rsidRPr="00CA3513" w:rsidRDefault="00CA3513" w:rsidP="00500AE5">
            <w:pPr>
              <w:rPr>
                <w:sz w:val="20"/>
                <w:szCs w:val="20"/>
              </w:rPr>
            </w:pPr>
            <w:r w:rsidRPr="00CA3513">
              <w:rPr>
                <w:sz w:val="20"/>
                <w:szCs w:val="20"/>
              </w:rPr>
              <w:t>24 CFR 578.103(a) and 24 CFR 578.103(a)(4)(i)(B)</w:t>
            </w:r>
          </w:p>
        </w:tc>
        <w:tc>
          <w:tcPr>
            <w:tcW w:w="1706" w:type="pct"/>
            <w:shd w:val="clear" w:color="auto" w:fill="FFF2CC" w:themeFill="accent4" w:themeFillTint="33"/>
          </w:tcPr>
          <w:p w14:paraId="1FBDEFBD" w14:textId="77777777" w:rsidR="00CA3513" w:rsidRPr="00CA3513" w:rsidRDefault="00CA3513" w:rsidP="00500AE5">
            <w:pPr>
              <w:rPr>
                <w:sz w:val="20"/>
                <w:szCs w:val="20"/>
              </w:rPr>
            </w:pPr>
            <w:r w:rsidRPr="00CA3513">
              <w:rPr>
                <w:sz w:val="20"/>
                <w:szCs w:val="20"/>
              </w:rPr>
              <w:t xml:space="preserve">1) Documentation of COVID-19 related constraints preventing collection of disability documentation such as shelter-in-place orders or office closures; 2) Copy of waiver notification sent to HUD; 3) Emergency recordkeeping policies and procedures </w:t>
            </w:r>
          </w:p>
        </w:tc>
        <w:tc>
          <w:tcPr>
            <w:tcW w:w="1795" w:type="pct"/>
            <w:shd w:val="clear" w:color="auto" w:fill="FFF2CC" w:themeFill="accent4" w:themeFillTint="33"/>
          </w:tcPr>
          <w:p w14:paraId="54A2E354" w14:textId="77777777" w:rsidR="00CA3513" w:rsidRPr="00CA3513" w:rsidRDefault="00CA3513" w:rsidP="00500AE5">
            <w:pPr>
              <w:rPr>
                <w:b/>
                <w:sz w:val="20"/>
                <w:szCs w:val="20"/>
              </w:rPr>
            </w:pPr>
            <w:r w:rsidRPr="00CA3513">
              <w:rPr>
                <w:sz w:val="20"/>
                <w:szCs w:val="20"/>
              </w:rPr>
              <w:t xml:space="preserve">1) Copies of certifications; 2) a note in the files of affected clients outlining application of the waiver and compliance with the timeframe. </w:t>
            </w:r>
          </w:p>
        </w:tc>
      </w:tr>
      <w:tr w:rsidR="00CA3513" w:rsidRPr="00CA3513" w14:paraId="3304173D" w14:textId="77777777" w:rsidTr="00CA3513">
        <w:tc>
          <w:tcPr>
            <w:tcW w:w="200" w:type="pct"/>
            <w:shd w:val="clear" w:color="auto" w:fill="FFF2CC" w:themeFill="accent4" w:themeFillTint="33"/>
            <w:vAlign w:val="center"/>
          </w:tcPr>
          <w:p w14:paraId="4CF799C8" w14:textId="4E51D912"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51D3694B" w14:textId="77777777" w:rsidR="00CA3513" w:rsidRPr="00CA3513" w:rsidRDefault="00CA3513" w:rsidP="00500AE5">
            <w:pPr>
              <w:rPr>
                <w:b/>
                <w:bCs/>
                <w:sz w:val="20"/>
                <w:szCs w:val="20"/>
              </w:rPr>
            </w:pPr>
            <w:r w:rsidRPr="00CA3513">
              <w:rPr>
                <w:b/>
                <w:bCs/>
                <w:sz w:val="20"/>
                <w:szCs w:val="20"/>
              </w:rPr>
              <w:t>Limit on Eligible Housing Search and Counseling Services</w:t>
            </w:r>
          </w:p>
          <w:p w14:paraId="367B41B5" w14:textId="77777777" w:rsidR="00CA3513" w:rsidRPr="00CA3513" w:rsidRDefault="00CA3513" w:rsidP="00500AE5">
            <w:pPr>
              <w:rPr>
                <w:sz w:val="20"/>
                <w:szCs w:val="20"/>
              </w:rPr>
            </w:pPr>
            <w:r w:rsidRPr="00CA3513">
              <w:rPr>
                <w:sz w:val="20"/>
                <w:szCs w:val="20"/>
              </w:rPr>
              <w:t>24 CFR 578.53(e)(8)(ii)(B) and 578.53(d)</w:t>
            </w:r>
          </w:p>
        </w:tc>
        <w:tc>
          <w:tcPr>
            <w:tcW w:w="1706" w:type="pct"/>
            <w:shd w:val="clear" w:color="auto" w:fill="FFF2CC" w:themeFill="accent4" w:themeFillTint="33"/>
          </w:tcPr>
          <w:p w14:paraId="31947FF7" w14:textId="77777777" w:rsidR="00CA3513" w:rsidRPr="00CA3513" w:rsidRDefault="00CA3513" w:rsidP="00500AE5">
            <w:pPr>
              <w:rPr>
                <w:sz w:val="20"/>
                <w:szCs w:val="20"/>
              </w:rPr>
            </w:pPr>
            <w:r w:rsidRPr="00CA3513">
              <w:rPr>
                <w:sz w:val="20"/>
                <w:szCs w:val="20"/>
              </w:rPr>
              <w:t>1) Emergency recordkeeping policies and procedures outlining how grantee will define “difficulty obtain[</w:t>
            </w:r>
            <w:proofErr w:type="spellStart"/>
            <w:r w:rsidRPr="00CA3513">
              <w:rPr>
                <w:sz w:val="20"/>
                <w:szCs w:val="20"/>
              </w:rPr>
              <w:t>ing</w:t>
            </w:r>
            <w:proofErr w:type="spellEnd"/>
            <w:r w:rsidRPr="00CA3513">
              <w:rPr>
                <w:sz w:val="20"/>
                <w:szCs w:val="20"/>
              </w:rPr>
              <w:t>] housing”; 2) Copy of waiver notification sent to HUD</w:t>
            </w:r>
          </w:p>
        </w:tc>
        <w:tc>
          <w:tcPr>
            <w:tcW w:w="1795" w:type="pct"/>
            <w:shd w:val="clear" w:color="auto" w:fill="FFF2CC" w:themeFill="accent4" w:themeFillTint="33"/>
          </w:tcPr>
          <w:p w14:paraId="28FDFDF3" w14:textId="77777777" w:rsidR="00CA3513" w:rsidRPr="00CA3513" w:rsidRDefault="00CA3513" w:rsidP="00500AE5">
            <w:pPr>
              <w:rPr>
                <w:sz w:val="20"/>
                <w:szCs w:val="20"/>
              </w:rPr>
            </w:pPr>
            <w:r w:rsidRPr="00CA3513">
              <w:rPr>
                <w:sz w:val="20"/>
                <w:szCs w:val="20"/>
              </w:rPr>
              <w:t>Documentation demonstrating the client’s inability to obtain housing as a direct result of rent and utility arrears.</w:t>
            </w:r>
          </w:p>
        </w:tc>
      </w:tr>
      <w:tr w:rsidR="00CA3513" w:rsidRPr="00CA3513" w14:paraId="00D182F3" w14:textId="77777777" w:rsidTr="00CA3513">
        <w:tc>
          <w:tcPr>
            <w:tcW w:w="200" w:type="pct"/>
            <w:shd w:val="clear" w:color="auto" w:fill="FFF2CC" w:themeFill="accent4" w:themeFillTint="33"/>
            <w:vAlign w:val="center"/>
          </w:tcPr>
          <w:p w14:paraId="3EFC4F55" w14:textId="350159BD"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707C575A" w14:textId="77777777" w:rsidR="00CA3513" w:rsidRPr="00CA3513" w:rsidRDefault="00CA3513" w:rsidP="00500AE5">
            <w:pPr>
              <w:rPr>
                <w:b/>
                <w:bCs/>
                <w:sz w:val="20"/>
                <w:szCs w:val="20"/>
              </w:rPr>
            </w:pPr>
            <w:r w:rsidRPr="00CA3513">
              <w:rPr>
                <w:b/>
                <w:bCs/>
                <w:sz w:val="20"/>
                <w:szCs w:val="20"/>
              </w:rPr>
              <w:t>Permanent Housing-Rapid Re-housing Monthly Case Management</w:t>
            </w:r>
          </w:p>
          <w:p w14:paraId="6D3011FA" w14:textId="77777777" w:rsidR="00CA3513" w:rsidRPr="00CA3513" w:rsidRDefault="00CA3513" w:rsidP="00500AE5">
            <w:pPr>
              <w:rPr>
                <w:sz w:val="20"/>
                <w:szCs w:val="20"/>
              </w:rPr>
            </w:pPr>
            <w:r w:rsidRPr="00CA3513">
              <w:rPr>
                <w:sz w:val="20"/>
                <w:szCs w:val="20"/>
              </w:rPr>
              <w:t>24 CFR 578.37(a)(1)(ii)(F)</w:t>
            </w:r>
          </w:p>
        </w:tc>
        <w:tc>
          <w:tcPr>
            <w:tcW w:w="1706" w:type="pct"/>
            <w:shd w:val="clear" w:color="auto" w:fill="FFF2CC" w:themeFill="accent4" w:themeFillTint="33"/>
          </w:tcPr>
          <w:p w14:paraId="682E8E71" w14:textId="77777777" w:rsidR="00CA3513" w:rsidRPr="00CA3513" w:rsidRDefault="00CA3513" w:rsidP="00500AE5">
            <w:pPr>
              <w:rPr>
                <w:sz w:val="20"/>
                <w:szCs w:val="20"/>
              </w:rPr>
            </w:pPr>
            <w:r w:rsidRPr="00CA3513">
              <w:rPr>
                <w:sz w:val="20"/>
                <w:szCs w:val="20"/>
              </w:rPr>
              <w:t>1) Documentation of limited staff capacity, shelter-in-place order, or similar COVID-19 related impediment; 2) Copy of waiver notification sent to HUD; 3) Emergency recordkeeping policies and procedures</w:t>
            </w:r>
          </w:p>
        </w:tc>
        <w:tc>
          <w:tcPr>
            <w:tcW w:w="1795" w:type="pct"/>
            <w:shd w:val="clear" w:color="auto" w:fill="FFF2CC" w:themeFill="accent4" w:themeFillTint="33"/>
          </w:tcPr>
          <w:p w14:paraId="5D1B712C" w14:textId="77777777" w:rsidR="00CA3513" w:rsidRPr="00CA3513" w:rsidRDefault="00CA3513" w:rsidP="00500AE5">
            <w:pPr>
              <w:rPr>
                <w:b/>
                <w:sz w:val="20"/>
                <w:szCs w:val="20"/>
              </w:rPr>
            </w:pPr>
            <w:r w:rsidRPr="00CA3513">
              <w:rPr>
                <w:sz w:val="20"/>
                <w:szCs w:val="20"/>
              </w:rPr>
              <w:t>A note in the files of affected clients outlining application of the waiver.</w:t>
            </w:r>
            <w:r w:rsidRPr="00CA3513">
              <w:rPr>
                <w:b/>
                <w:sz w:val="20"/>
                <w:szCs w:val="20"/>
              </w:rPr>
              <w:t xml:space="preserve"> </w:t>
            </w:r>
          </w:p>
        </w:tc>
      </w:tr>
      <w:tr w:rsidR="00CA3513" w:rsidRPr="00CA3513" w14:paraId="6C393E09" w14:textId="77777777" w:rsidTr="00CA3513">
        <w:tc>
          <w:tcPr>
            <w:tcW w:w="200" w:type="pct"/>
            <w:shd w:val="clear" w:color="auto" w:fill="FFF2CC" w:themeFill="accent4" w:themeFillTint="33"/>
            <w:vAlign w:val="center"/>
          </w:tcPr>
          <w:p w14:paraId="00994F37" w14:textId="0FDC651B"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1480A788" w14:textId="77777777" w:rsidR="00CA3513" w:rsidRPr="00CA3513" w:rsidRDefault="00CA3513" w:rsidP="00500AE5">
            <w:pPr>
              <w:rPr>
                <w:b/>
                <w:bCs/>
                <w:sz w:val="20"/>
                <w:szCs w:val="20"/>
              </w:rPr>
            </w:pPr>
            <w:r w:rsidRPr="00CA3513">
              <w:rPr>
                <w:b/>
                <w:bCs/>
                <w:sz w:val="20"/>
                <w:szCs w:val="20"/>
              </w:rPr>
              <w:t>Housing Quality Standards (HQS) – Initial Physical Inspection of Unit</w:t>
            </w:r>
          </w:p>
          <w:p w14:paraId="26A7D460" w14:textId="77777777" w:rsidR="00CA3513" w:rsidRPr="00CA3513" w:rsidRDefault="00CA3513" w:rsidP="00500AE5">
            <w:pPr>
              <w:rPr>
                <w:sz w:val="20"/>
                <w:szCs w:val="20"/>
              </w:rPr>
            </w:pPr>
            <w:r w:rsidRPr="00CA3513">
              <w:rPr>
                <w:sz w:val="20"/>
                <w:szCs w:val="20"/>
              </w:rPr>
              <w:t>24 CFR 578.75(b)(1)</w:t>
            </w:r>
          </w:p>
        </w:tc>
        <w:tc>
          <w:tcPr>
            <w:tcW w:w="1706" w:type="pct"/>
            <w:shd w:val="clear" w:color="auto" w:fill="FFF2CC" w:themeFill="accent4" w:themeFillTint="33"/>
          </w:tcPr>
          <w:p w14:paraId="0F8B2867" w14:textId="77777777" w:rsidR="00CA3513" w:rsidRPr="00CA3513" w:rsidRDefault="00CA3513" w:rsidP="00500AE5">
            <w:pPr>
              <w:rPr>
                <w:sz w:val="20"/>
                <w:szCs w:val="20"/>
              </w:rPr>
            </w:pPr>
            <w:r w:rsidRPr="00CA3513">
              <w:rPr>
                <w:sz w:val="20"/>
                <w:szCs w:val="20"/>
              </w:rPr>
              <w:t>1) Emergency recordkeeping policies and procedures that outline the reinspection process; 2) Copy of waiver notification sent to HUD</w:t>
            </w:r>
          </w:p>
        </w:tc>
        <w:tc>
          <w:tcPr>
            <w:tcW w:w="1795" w:type="pct"/>
            <w:shd w:val="clear" w:color="auto" w:fill="FFF2CC" w:themeFill="accent4" w:themeFillTint="33"/>
          </w:tcPr>
          <w:p w14:paraId="6899B81E" w14:textId="77777777" w:rsidR="00CA3513" w:rsidRPr="00CA3513" w:rsidRDefault="00CA3513" w:rsidP="00500AE5">
            <w:pPr>
              <w:rPr>
                <w:sz w:val="20"/>
                <w:szCs w:val="20"/>
              </w:rPr>
            </w:pPr>
            <w:r w:rsidRPr="00CA3513">
              <w:rPr>
                <w:sz w:val="20"/>
                <w:szCs w:val="20"/>
              </w:rPr>
              <w:t>1) A completed HQS inspection form noting the method of observation, date, and a reference to the waiver. 2) By the 3-month deadline, a completed on-site inspection.</w:t>
            </w:r>
          </w:p>
        </w:tc>
      </w:tr>
      <w:tr w:rsidR="00CA3513" w:rsidRPr="00CA3513" w14:paraId="56A5B9DA" w14:textId="77777777" w:rsidTr="00CA3513">
        <w:tc>
          <w:tcPr>
            <w:tcW w:w="200" w:type="pct"/>
            <w:shd w:val="clear" w:color="auto" w:fill="FFF2CC" w:themeFill="accent4" w:themeFillTint="33"/>
            <w:vAlign w:val="center"/>
          </w:tcPr>
          <w:p w14:paraId="6B0DCD69" w14:textId="151F6E30"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0B8E35F3" w14:textId="77777777" w:rsidR="00CA3513" w:rsidRPr="00CA3513" w:rsidRDefault="00CA3513" w:rsidP="00500AE5">
            <w:pPr>
              <w:rPr>
                <w:sz w:val="20"/>
                <w:szCs w:val="20"/>
              </w:rPr>
            </w:pPr>
            <w:r w:rsidRPr="00CA3513">
              <w:rPr>
                <w:b/>
                <w:bCs/>
                <w:sz w:val="20"/>
                <w:szCs w:val="20"/>
              </w:rPr>
              <w:t xml:space="preserve">HQS – Re-Inspection of Units </w:t>
            </w:r>
            <w:r w:rsidRPr="00CA3513">
              <w:rPr>
                <w:sz w:val="20"/>
                <w:szCs w:val="20"/>
              </w:rPr>
              <w:t>24 CFR 578.75(b)(2)</w:t>
            </w:r>
          </w:p>
        </w:tc>
        <w:tc>
          <w:tcPr>
            <w:tcW w:w="1706" w:type="pct"/>
            <w:shd w:val="clear" w:color="auto" w:fill="FFF2CC" w:themeFill="accent4" w:themeFillTint="33"/>
          </w:tcPr>
          <w:p w14:paraId="69B8680B" w14:textId="77777777" w:rsidR="00CA3513" w:rsidRPr="00CA3513" w:rsidRDefault="00CA3513" w:rsidP="00500AE5">
            <w:pPr>
              <w:rPr>
                <w:sz w:val="20"/>
                <w:szCs w:val="20"/>
              </w:rPr>
            </w:pPr>
            <w:r w:rsidRPr="00CA3513">
              <w:rPr>
                <w:sz w:val="20"/>
                <w:szCs w:val="20"/>
              </w:rPr>
              <w:t>1) Copy of waiver notification sent to HUD; 2) Emergency recordkeeping policies and procedures</w:t>
            </w:r>
          </w:p>
        </w:tc>
        <w:tc>
          <w:tcPr>
            <w:tcW w:w="1795" w:type="pct"/>
            <w:shd w:val="clear" w:color="auto" w:fill="FFF2CC" w:themeFill="accent4" w:themeFillTint="33"/>
          </w:tcPr>
          <w:p w14:paraId="627C53BF" w14:textId="77777777" w:rsidR="00CA3513" w:rsidRPr="00CA3513" w:rsidRDefault="00CA3513" w:rsidP="00500AE5">
            <w:pPr>
              <w:rPr>
                <w:sz w:val="20"/>
                <w:szCs w:val="20"/>
              </w:rPr>
            </w:pPr>
            <w:r w:rsidRPr="00CA3513">
              <w:rPr>
                <w:sz w:val="20"/>
                <w:szCs w:val="20"/>
              </w:rPr>
              <w:t>A note in the files of affected clients.</w:t>
            </w:r>
          </w:p>
        </w:tc>
      </w:tr>
      <w:tr w:rsidR="00CA3513" w:rsidRPr="00CA3513" w14:paraId="180982BD" w14:textId="77777777" w:rsidTr="00CA3513">
        <w:tc>
          <w:tcPr>
            <w:tcW w:w="200" w:type="pct"/>
            <w:shd w:val="clear" w:color="auto" w:fill="FFF2CC" w:themeFill="accent4" w:themeFillTint="33"/>
            <w:vAlign w:val="center"/>
          </w:tcPr>
          <w:p w14:paraId="2ED7B684" w14:textId="71D2F5CF" w:rsidR="00CA3513" w:rsidRPr="00CA3513" w:rsidRDefault="00CA3513" w:rsidP="00500AE5">
            <w:pPr>
              <w:jc w:val="center"/>
              <w:rPr>
                <w:b/>
                <w:bCs/>
                <w:sz w:val="20"/>
                <w:szCs w:val="20"/>
              </w:rPr>
            </w:pPr>
          </w:p>
        </w:tc>
        <w:tc>
          <w:tcPr>
            <w:tcW w:w="1299" w:type="pct"/>
            <w:shd w:val="clear" w:color="auto" w:fill="FFF2CC" w:themeFill="accent4" w:themeFillTint="33"/>
            <w:vAlign w:val="center"/>
          </w:tcPr>
          <w:p w14:paraId="2481A306" w14:textId="77777777" w:rsidR="00CA3513" w:rsidRPr="00CA3513" w:rsidRDefault="00CA3513" w:rsidP="00500AE5">
            <w:pPr>
              <w:rPr>
                <w:b/>
                <w:bCs/>
                <w:sz w:val="20"/>
                <w:szCs w:val="20"/>
              </w:rPr>
            </w:pPr>
            <w:r w:rsidRPr="00CA3513">
              <w:rPr>
                <w:b/>
                <w:bCs/>
                <w:sz w:val="20"/>
                <w:szCs w:val="20"/>
              </w:rPr>
              <w:t>One-Year Lease Requirement</w:t>
            </w:r>
          </w:p>
          <w:p w14:paraId="1C57D215" w14:textId="77777777" w:rsidR="00CA3513" w:rsidRPr="00CA3513" w:rsidRDefault="00CA3513" w:rsidP="00500AE5">
            <w:pPr>
              <w:rPr>
                <w:b/>
                <w:bCs/>
                <w:sz w:val="20"/>
                <w:szCs w:val="20"/>
              </w:rPr>
            </w:pPr>
            <w:r w:rsidRPr="00CA3513">
              <w:rPr>
                <w:b/>
                <w:bCs/>
                <w:sz w:val="20"/>
                <w:szCs w:val="20"/>
              </w:rPr>
              <w:t>24 CFR 578.3, definition of permanent housing,</w:t>
            </w:r>
            <w:r w:rsidRPr="00CA3513">
              <w:rPr>
                <w:sz w:val="20"/>
                <w:szCs w:val="20"/>
              </w:rPr>
              <w:t xml:space="preserve"> 24 CFR 578.51(l)(1)</w:t>
            </w:r>
          </w:p>
        </w:tc>
        <w:tc>
          <w:tcPr>
            <w:tcW w:w="1706" w:type="pct"/>
            <w:shd w:val="clear" w:color="auto" w:fill="FFF2CC" w:themeFill="accent4" w:themeFillTint="33"/>
          </w:tcPr>
          <w:p w14:paraId="70232C3E" w14:textId="77777777" w:rsidR="00CA3513" w:rsidRPr="00CA3513" w:rsidRDefault="00CA3513" w:rsidP="00500AE5">
            <w:pPr>
              <w:rPr>
                <w:sz w:val="20"/>
                <w:szCs w:val="20"/>
              </w:rPr>
            </w:pPr>
            <w:r w:rsidRPr="00CA3513">
              <w:rPr>
                <w:sz w:val="20"/>
                <w:szCs w:val="20"/>
              </w:rPr>
              <w:t>1) Documentation outlining constraints related to 1-year lease requirement; 2) Copy of waiver notification sent to HUD; 3) Emergency recordkeeping policies and procedures</w:t>
            </w:r>
          </w:p>
        </w:tc>
        <w:tc>
          <w:tcPr>
            <w:tcW w:w="1795" w:type="pct"/>
            <w:shd w:val="clear" w:color="auto" w:fill="FFF2CC" w:themeFill="accent4" w:themeFillTint="33"/>
          </w:tcPr>
          <w:p w14:paraId="106544B5" w14:textId="77777777" w:rsidR="00CA3513" w:rsidRPr="00CA3513" w:rsidRDefault="00CA3513" w:rsidP="00500AE5">
            <w:pPr>
              <w:rPr>
                <w:sz w:val="20"/>
                <w:szCs w:val="20"/>
              </w:rPr>
            </w:pPr>
            <w:r w:rsidRPr="00CA3513">
              <w:rPr>
                <w:sz w:val="20"/>
                <w:szCs w:val="20"/>
              </w:rPr>
              <w:t>A notation in the files of affected clients along with a copy of the lease indicating the term.</w:t>
            </w:r>
          </w:p>
        </w:tc>
      </w:tr>
    </w:tbl>
    <w:bookmarkEnd w:id="6"/>
    <w:p w14:paraId="7E637841" w14:textId="3CCBE18D" w:rsidR="0061063D" w:rsidRPr="00CA3513" w:rsidRDefault="00CA3513" w:rsidP="009A35D1">
      <w:pPr>
        <w:shd w:val="clear" w:color="auto" w:fill="FFFFFF"/>
        <w:rPr>
          <w:rFonts w:eastAsia="Times New Roman"/>
          <w:i/>
          <w:iCs/>
          <w:color w:val="333333"/>
          <w:sz w:val="20"/>
          <w:szCs w:val="20"/>
        </w:rPr>
      </w:pPr>
      <w:r w:rsidRPr="00CA3513">
        <w:rPr>
          <w:rFonts w:eastAsia="Times New Roman"/>
          <w:i/>
          <w:iCs/>
          <w:color w:val="333333"/>
          <w:sz w:val="20"/>
          <w:szCs w:val="20"/>
        </w:rPr>
        <w:t>*Documentation may be electronic.</w:t>
      </w:r>
    </w:p>
    <w:p w14:paraId="7498A3E7" w14:textId="77777777" w:rsidR="00CA3513" w:rsidRDefault="00CA3513" w:rsidP="009A35D1">
      <w:pPr>
        <w:shd w:val="clear" w:color="auto" w:fill="FFFFFF"/>
        <w:rPr>
          <w:rFonts w:eastAsia="Times New Roman"/>
          <w:b/>
          <w:bCs/>
          <w:color w:val="333333"/>
        </w:rPr>
      </w:pPr>
    </w:p>
    <w:p w14:paraId="4C54A5BE" w14:textId="462C9A92" w:rsidR="009A35D1" w:rsidRPr="00B16EE7" w:rsidRDefault="009A35D1" w:rsidP="009A35D1">
      <w:pPr>
        <w:shd w:val="clear" w:color="auto" w:fill="FFFFFF"/>
        <w:rPr>
          <w:rFonts w:eastAsia="Times New Roman"/>
          <w:b/>
          <w:bCs/>
          <w:color w:val="333333"/>
        </w:rPr>
      </w:pPr>
      <w:r w:rsidRPr="00B16EE7">
        <w:rPr>
          <w:rFonts w:eastAsia="Times New Roman"/>
          <w:b/>
          <w:bCs/>
          <w:color w:val="333333"/>
        </w:rPr>
        <w:t>Name &amp; Title of Authorizing Official:</w:t>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p>
    <w:p w14:paraId="66674A61" w14:textId="77777777" w:rsidR="009A35D1" w:rsidRPr="00B16EE7" w:rsidRDefault="009A35D1" w:rsidP="009A35D1">
      <w:pPr>
        <w:shd w:val="clear" w:color="auto" w:fill="FFFFFF"/>
        <w:rPr>
          <w:rFonts w:eastAsia="Times New Roman"/>
          <w:b/>
          <w:bCs/>
          <w:color w:val="333333"/>
        </w:rPr>
      </w:pPr>
    </w:p>
    <w:p w14:paraId="66D3FAE1" w14:textId="77777777" w:rsidR="009A35D1" w:rsidRPr="00B16EE7" w:rsidRDefault="009A35D1" w:rsidP="009A35D1">
      <w:pPr>
        <w:shd w:val="clear" w:color="auto" w:fill="FFFFFF"/>
        <w:rPr>
          <w:rFonts w:eastAsia="Times New Roman"/>
          <w:b/>
          <w:bCs/>
          <w:color w:val="333333"/>
        </w:rPr>
      </w:pPr>
    </w:p>
    <w:p w14:paraId="6D4C788E" w14:textId="77777777" w:rsidR="009A35D1" w:rsidRPr="00B16EE7" w:rsidRDefault="009A35D1" w:rsidP="009A35D1">
      <w:pPr>
        <w:shd w:val="clear" w:color="auto" w:fill="FFFFFF"/>
        <w:rPr>
          <w:rFonts w:eastAsia="Times New Roman"/>
          <w:b/>
          <w:bCs/>
          <w:color w:val="333333"/>
        </w:rPr>
      </w:pPr>
      <w:r w:rsidRPr="00B16EE7">
        <w:rPr>
          <w:rFonts w:eastAsia="Times New Roman"/>
          <w:b/>
          <w:bCs/>
          <w:color w:val="333333"/>
        </w:rPr>
        <w:t>Signature:</w:t>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r>
      <w:r w:rsidRPr="00B16EE7">
        <w:rPr>
          <w:rFonts w:eastAsia="Times New Roman"/>
          <w:b/>
          <w:bCs/>
          <w:color w:val="333333"/>
        </w:rPr>
        <w:tab/>
        <w:t>Date:</w:t>
      </w:r>
    </w:p>
    <w:p w14:paraId="021FC57D" w14:textId="77777777" w:rsidR="00B16EE7" w:rsidRDefault="00B16EE7" w:rsidP="005F4FC1">
      <w:pPr>
        <w:shd w:val="clear" w:color="auto" w:fill="FFFFFF"/>
        <w:rPr>
          <w:rFonts w:eastAsia="Times New Roman"/>
          <w:b/>
          <w:bCs/>
          <w:color w:val="333333"/>
        </w:rPr>
      </w:pPr>
    </w:p>
    <w:p w14:paraId="17E804D5" w14:textId="490959C9" w:rsidR="00B16EE7" w:rsidRDefault="0061063D" w:rsidP="005F4FC1">
      <w:pPr>
        <w:shd w:val="clear" w:color="auto" w:fill="FFFFFF"/>
        <w:rPr>
          <w:rFonts w:eastAsia="Times New Roman"/>
          <w:b/>
          <w:bCs/>
          <w:color w:val="333333"/>
        </w:rPr>
      </w:pPr>
      <w:r>
        <w:rPr>
          <w:rFonts w:eastAsia="Times New Roman"/>
          <w:b/>
          <w:bCs/>
          <w:color w:val="333333"/>
        </w:rPr>
        <w:t>______________________________________</w:t>
      </w:r>
      <w:r>
        <w:rPr>
          <w:rFonts w:eastAsia="Times New Roman"/>
          <w:b/>
          <w:bCs/>
          <w:color w:val="333333"/>
        </w:rPr>
        <w:tab/>
      </w:r>
      <w:r>
        <w:rPr>
          <w:rFonts w:eastAsia="Times New Roman"/>
          <w:b/>
          <w:bCs/>
          <w:color w:val="333333"/>
        </w:rPr>
        <w:tab/>
        <w:t>____________________________</w:t>
      </w:r>
    </w:p>
    <w:p w14:paraId="3B0E309B" w14:textId="77777777" w:rsidR="00B16EE7" w:rsidRDefault="00B16EE7" w:rsidP="005F4FC1">
      <w:pPr>
        <w:shd w:val="clear" w:color="auto" w:fill="FFFFFF"/>
        <w:rPr>
          <w:rFonts w:eastAsia="Times New Roman"/>
          <w:b/>
          <w:bCs/>
          <w:color w:val="333333"/>
        </w:rPr>
      </w:pPr>
    </w:p>
    <w:p w14:paraId="5AFC309C" w14:textId="77777777" w:rsidR="001F4185" w:rsidRPr="00B16EE7" w:rsidRDefault="001F4185" w:rsidP="001F4185"/>
    <w:p w14:paraId="016A8217" w14:textId="77777777" w:rsidR="001F4185" w:rsidRPr="00B16EE7" w:rsidRDefault="001F4185">
      <w:pPr>
        <w:rPr>
          <w:b/>
        </w:rPr>
      </w:pPr>
    </w:p>
    <w:sectPr w:rsidR="001F4185" w:rsidRPr="00B16EE7" w:rsidSect="00544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92A52"/>
    <w:multiLevelType w:val="hybridMultilevel"/>
    <w:tmpl w:val="1ADCD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66A31"/>
    <w:multiLevelType w:val="hybridMultilevel"/>
    <w:tmpl w:val="F332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82"/>
    <w:rsid w:val="000C4B95"/>
    <w:rsid w:val="00105DC7"/>
    <w:rsid w:val="001F4185"/>
    <w:rsid w:val="00235A52"/>
    <w:rsid w:val="00340D6B"/>
    <w:rsid w:val="003F3F89"/>
    <w:rsid w:val="00453F7C"/>
    <w:rsid w:val="004C6E08"/>
    <w:rsid w:val="00544A77"/>
    <w:rsid w:val="005668A2"/>
    <w:rsid w:val="005B750C"/>
    <w:rsid w:val="005F4FC1"/>
    <w:rsid w:val="0061063D"/>
    <w:rsid w:val="00694A3C"/>
    <w:rsid w:val="007B638E"/>
    <w:rsid w:val="007E5997"/>
    <w:rsid w:val="00936AB9"/>
    <w:rsid w:val="00953093"/>
    <w:rsid w:val="009A1AB3"/>
    <w:rsid w:val="009A35D1"/>
    <w:rsid w:val="009D4462"/>
    <w:rsid w:val="00AE22EC"/>
    <w:rsid w:val="00B16EE7"/>
    <w:rsid w:val="00B27F62"/>
    <w:rsid w:val="00B75658"/>
    <w:rsid w:val="00B93182"/>
    <w:rsid w:val="00B96A18"/>
    <w:rsid w:val="00BE1D10"/>
    <w:rsid w:val="00CA3513"/>
    <w:rsid w:val="00E31563"/>
    <w:rsid w:val="00F7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85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5A5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ection-1">
    <w:name w:val="psection-1"/>
    <w:basedOn w:val="Normal"/>
    <w:rsid w:val="00B93182"/>
    <w:pPr>
      <w:spacing w:before="100" w:beforeAutospacing="1" w:after="100" w:afterAutospacing="1"/>
    </w:pPr>
  </w:style>
  <w:style w:type="character" w:customStyle="1" w:styleId="enumxml">
    <w:name w:val="enumxml"/>
    <w:basedOn w:val="DefaultParagraphFont"/>
    <w:rsid w:val="00B93182"/>
  </w:style>
  <w:style w:type="character" w:customStyle="1" w:styleId="et03">
    <w:name w:val="et03"/>
    <w:basedOn w:val="DefaultParagraphFont"/>
    <w:rsid w:val="00B93182"/>
  </w:style>
  <w:style w:type="character" w:styleId="Hyperlink">
    <w:name w:val="Hyperlink"/>
    <w:basedOn w:val="DefaultParagraphFont"/>
    <w:uiPriority w:val="99"/>
    <w:semiHidden/>
    <w:unhideWhenUsed/>
    <w:rsid w:val="00B93182"/>
    <w:rPr>
      <w:color w:val="0000FF"/>
      <w:u w:val="single"/>
    </w:rPr>
  </w:style>
  <w:style w:type="paragraph" w:styleId="ListParagraph">
    <w:name w:val="List Paragraph"/>
    <w:basedOn w:val="Normal"/>
    <w:uiPriority w:val="34"/>
    <w:qFormat/>
    <w:rsid w:val="00B93182"/>
    <w:pPr>
      <w:ind w:left="720"/>
      <w:contextualSpacing/>
    </w:pPr>
    <w:rPr>
      <w:rFonts w:asciiTheme="minorHAnsi" w:hAnsiTheme="minorHAnsi" w:cstheme="minorBidi"/>
    </w:rPr>
  </w:style>
  <w:style w:type="table" w:styleId="TableGrid">
    <w:name w:val="Table Grid"/>
    <w:basedOn w:val="TableNormal"/>
    <w:uiPriority w:val="39"/>
    <w:rsid w:val="001F4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23823">
      <w:bodyDiv w:val="1"/>
      <w:marLeft w:val="0"/>
      <w:marRight w:val="0"/>
      <w:marTop w:val="0"/>
      <w:marBottom w:val="0"/>
      <w:divBdr>
        <w:top w:val="none" w:sz="0" w:space="0" w:color="auto"/>
        <w:left w:val="none" w:sz="0" w:space="0" w:color="auto"/>
        <w:bottom w:val="none" w:sz="0" w:space="0" w:color="auto"/>
        <w:right w:val="none" w:sz="0" w:space="0" w:color="auto"/>
      </w:divBdr>
    </w:div>
    <w:div w:id="1989700823">
      <w:bodyDiv w:val="1"/>
      <w:marLeft w:val="0"/>
      <w:marRight w:val="0"/>
      <w:marTop w:val="0"/>
      <w:marBottom w:val="0"/>
      <w:divBdr>
        <w:top w:val="none" w:sz="0" w:space="0" w:color="auto"/>
        <w:left w:val="none" w:sz="0" w:space="0" w:color="auto"/>
        <w:bottom w:val="none" w:sz="0" w:space="0" w:color="auto"/>
        <w:right w:val="none" w:sz="0" w:space="0" w:color="auto"/>
      </w:divBdr>
      <w:divsChild>
        <w:div w:id="4100810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8" ma:contentTypeDescription="Create a new document." ma:contentTypeScope="" ma:versionID="94f5e97625e85f21f9921a0a9161e6c5">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11610a8235289932d8cf2ca5ba8d9af9"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796C4-981B-4B52-8B05-BD2A57F0E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D84CD-0692-46AF-9694-15496AECB232}">
  <ds:schemaRefs>
    <ds:schemaRef ds:uri="http://schemas.microsoft.com/sharepoint/v3/contenttype/forms"/>
  </ds:schemaRefs>
</ds:datastoreItem>
</file>

<file path=customXml/itemProps3.xml><?xml version="1.0" encoding="utf-8"?>
<ds:datastoreItem xmlns:ds="http://schemas.openxmlformats.org/officeDocument/2006/customXml" ds:itemID="{72E4BA2C-5D05-454D-BA78-883C77CAF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Lally</dc:creator>
  <cp:keywords/>
  <dc:description/>
  <cp:lastModifiedBy>Feng, Hataitip B</cp:lastModifiedBy>
  <cp:revision>2</cp:revision>
  <dcterms:created xsi:type="dcterms:W3CDTF">2020-04-10T20:51:00Z</dcterms:created>
  <dcterms:modified xsi:type="dcterms:W3CDTF">2020-04-10T20:51:00Z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ies>
</file>